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D9263" w14:textId="5A55F39B" w:rsidR="008C2C0F" w:rsidRPr="00F771F4" w:rsidRDefault="00F37EAA" w:rsidP="00F37EAA">
      <w:pPr>
        <w:pStyle w:val="3GPPHeader"/>
      </w:pPr>
      <w:r w:rsidRPr="00F771F4">
        <w:t>3GPP TSG-RAN WG2 Meeting #11</w:t>
      </w:r>
      <w:r w:rsidR="001411D4">
        <w:t>6</w:t>
      </w:r>
      <w:r w:rsidRPr="00F771F4">
        <w:t xml:space="preserve"> electronic</w:t>
      </w:r>
      <w:r w:rsidRPr="00F771F4">
        <w:tab/>
      </w:r>
      <w:r w:rsidR="00660199" w:rsidRPr="00660199">
        <w:t>R2-2110340</w:t>
      </w:r>
    </w:p>
    <w:p w14:paraId="7A3A5CFA" w14:textId="5D40104B" w:rsidR="001E5FD2" w:rsidRPr="00F771F4" w:rsidRDefault="00F37EAA" w:rsidP="00F37EAA">
      <w:pPr>
        <w:pStyle w:val="3GPPHeader"/>
      </w:pPr>
      <w:r w:rsidRPr="00F771F4">
        <w:t xml:space="preserve">Online, </w:t>
      </w:r>
      <w:r w:rsidR="001411D4">
        <w:t>November</w:t>
      </w:r>
      <w:r w:rsidR="0031607B" w:rsidRPr="00F771F4">
        <w:t xml:space="preserve"> </w:t>
      </w:r>
      <w:r w:rsidR="001411D4">
        <w:t>1</w:t>
      </w:r>
      <w:r w:rsidR="0031607B" w:rsidRPr="00F771F4">
        <w:t xml:space="preserve"> –</w:t>
      </w:r>
      <w:r w:rsidR="00021FD8" w:rsidRPr="00F771F4">
        <w:t xml:space="preserve"> </w:t>
      </w:r>
      <w:r w:rsidR="001411D4">
        <w:t>12</w:t>
      </w:r>
      <w:r w:rsidR="0031607B" w:rsidRPr="00F771F4">
        <w:t>, 2021</w:t>
      </w:r>
    </w:p>
    <w:p w14:paraId="40CF7388" w14:textId="22EBCA6A" w:rsidR="00E90E49" w:rsidRPr="00F771F4" w:rsidRDefault="00E90E49" w:rsidP="00311702">
      <w:pPr>
        <w:pStyle w:val="3GPPHeader"/>
      </w:pPr>
      <w:r w:rsidRPr="00F771F4">
        <w:t>Agenda Item:</w:t>
      </w:r>
      <w:r w:rsidRPr="00F771F4">
        <w:tab/>
      </w:r>
      <w:r w:rsidR="0015455E" w:rsidRPr="00F771F4">
        <w:t>8</w:t>
      </w:r>
      <w:r w:rsidR="00311702" w:rsidRPr="00F771F4">
        <w:t>.</w:t>
      </w:r>
      <w:r w:rsidR="0015455E" w:rsidRPr="00F771F4">
        <w:t>10</w:t>
      </w:r>
      <w:r w:rsidR="00311702" w:rsidRPr="00F771F4">
        <w:t>.</w:t>
      </w:r>
      <w:r w:rsidR="00F076D1" w:rsidRPr="00F771F4">
        <w:t>3.3</w:t>
      </w:r>
    </w:p>
    <w:p w14:paraId="719003AB" w14:textId="77777777" w:rsidR="00E90E49" w:rsidRPr="00F771F4" w:rsidRDefault="003D3C45" w:rsidP="00F64C2B">
      <w:pPr>
        <w:pStyle w:val="3GPPHeader"/>
      </w:pPr>
      <w:r w:rsidRPr="00F771F4">
        <w:t>Source:</w:t>
      </w:r>
      <w:r w:rsidR="00E90E49" w:rsidRPr="00F771F4">
        <w:tab/>
      </w:r>
      <w:r w:rsidR="00F64C2B" w:rsidRPr="00F771F4">
        <w:t>Ericsson</w:t>
      </w:r>
    </w:p>
    <w:p w14:paraId="3CE99A1A" w14:textId="197B0A5E" w:rsidR="00E90E49" w:rsidRPr="00F771F4" w:rsidRDefault="003D3C45" w:rsidP="00311702">
      <w:pPr>
        <w:pStyle w:val="3GPPHeader"/>
      </w:pPr>
      <w:r w:rsidRPr="00F771F4">
        <w:t>Title:</w:t>
      </w:r>
      <w:r w:rsidR="00E90E49" w:rsidRPr="00F771F4">
        <w:tab/>
      </w:r>
      <w:r w:rsidR="00246CEC" w:rsidRPr="00F771F4">
        <w:t>Connected</w:t>
      </w:r>
      <w:r w:rsidR="0075572D" w:rsidRPr="00F771F4">
        <w:t xml:space="preserve"> mode aspects for NTN</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32EE53B6" w14:textId="7FCDB9A4" w:rsidR="00E711FF" w:rsidRPr="00F771F4" w:rsidRDefault="002A2A3F" w:rsidP="00CE0424">
      <w:pPr>
        <w:pStyle w:val="BodyText"/>
      </w:pPr>
      <w:r w:rsidRPr="00F771F4">
        <w:t xml:space="preserve">A new </w:t>
      </w:r>
      <w:r w:rsidR="0015455E" w:rsidRPr="00F771F4">
        <w:t>W</w:t>
      </w:r>
      <w:r w:rsidRPr="00F771F4">
        <w:t xml:space="preserve">I on </w:t>
      </w:r>
      <w:r w:rsidR="0015455E" w:rsidRPr="00F771F4">
        <w:t>solutions for NR to support non-terrestrial networks (NTN)</w:t>
      </w:r>
      <w:r w:rsidRPr="00F771F4">
        <w:t xml:space="preserve"> was approved at RAN#86</w:t>
      </w:r>
      <w:r w:rsidR="0015455E" w:rsidRPr="00F771F4">
        <w:t xml:space="preserve">, with an updated WID approved at RAN#88 </w:t>
      </w:r>
      <w:r w:rsidR="0015455E" w:rsidRPr="00A4369A">
        <w:fldChar w:fldCharType="begin"/>
      </w:r>
      <w:r w:rsidR="0015455E" w:rsidRPr="00F771F4">
        <w:instrText xml:space="preserve"> REF _Ref45286859 \r \h </w:instrText>
      </w:r>
      <w:r w:rsidR="0015455E" w:rsidRPr="00A4369A">
        <w:fldChar w:fldCharType="separate"/>
      </w:r>
      <w:r w:rsidR="007406CA" w:rsidRPr="00F771F4">
        <w:t>[1]</w:t>
      </w:r>
      <w:r w:rsidR="0015455E" w:rsidRPr="00A4369A">
        <w:fldChar w:fldCharType="end"/>
      </w:r>
      <w:r w:rsidR="00E711FF" w:rsidRPr="00F771F4">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F771F4">
        <w:rPr>
          <w:rFonts w:ascii="Times New Roman" w:eastAsia="Calibri" w:hAnsi="Times New Roman" w:cs="Calibri"/>
          <w:sz w:val="20"/>
          <w:szCs w:val="20"/>
        </w:rPr>
        <w:t>Definition of additional assistance information for cell selection/reselection (e.g. using UE location information, satellite Ephemeris information)</w:t>
      </w:r>
    </w:p>
    <w:p w14:paraId="2195A8FE"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F771F4">
        <w:rPr>
          <w:rFonts w:ascii="Times New Roman" w:eastAsia="Calibri" w:hAnsi="Times New Roman" w:cs="Calibri"/>
          <w:sz w:val="20"/>
          <w:szCs w:val="20"/>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F771F4">
        <w:rPr>
          <w:rFonts w:ascii="Times New Roman" w:eastAsia="Calibri" w:hAnsi="Times New Roman" w:cs="Calibri"/>
          <w:sz w:val="20"/>
          <w:szCs w:val="20"/>
          <w:highlight w:val="yellow"/>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F771F4"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F771F4">
        <w:rPr>
          <w:rFonts w:ascii="Times New Roman" w:eastAsia="Calibri" w:hAnsi="Times New Roman" w:cs="Calibri"/>
          <w:sz w:val="20"/>
          <w:szCs w:val="20"/>
          <w:highlight w:val="yellow"/>
        </w:rPr>
        <w:t>Enhancement to existing measurement configurations to address absolute propagation delay difference between satellites (e.g. SMTC measurement gap adaptation to the SSB/CSI-RS measurement window) [RAN2/4].</w:t>
      </w:r>
    </w:p>
    <w:p w14:paraId="289CF746" w14:textId="77777777" w:rsidR="00E711FF" w:rsidRPr="00F771F4"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rPr>
      </w:pPr>
    </w:p>
    <w:p w14:paraId="28C708D4" w14:textId="77777777" w:rsidR="00E711FF" w:rsidRPr="00F771F4"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rPr>
      </w:pPr>
      <w:r w:rsidRPr="00F771F4">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F771F4" w:rsidRDefault="00E711FF" w:rsidP="00E711FF">
      <w:pPr>
        <w:overflowPunct w:val="0"/>
        <w:autoSpaceDE w:val="0"/>
        <w:autoSpaceDN w:val="0"/>
        <w:adjustRightInd w:val="0"/>
        <w:rPr>
          <w:rFonts w:ascii="Times New Roman" w:eastAsia="Times New Roman" w:hAnsi="Times New Roman" w:cs="Times New Roman"/>
          <w:sz w:val="20"/>
          <w:szCs w:val="20"/>
        </w:rPr>
      </w:pPr>
    </w:p>
    <w:p w14:paraId="0671B7D4" w14:textId="43DD5452" w:rsidR="00E711FF" w:rsidRPr="00F771F4" w:rsidRDefault="00E711FF" w:rsidP="00346D90">
      <w:pPr>
        <w:numPr>
          <w:ilvl w:val="0"/>
          <w:numId w:val="14"/>
        </w:numPr>
        <w:overflowPunct w:val="0"/>
        <w:autoSpaceDE w:val="0"/>
        <w:autoSpaceDN w:val="0"/>
        <w:adjustRightInd w:val="0"/>
        <w:spacing w:after="180"/>
        <w:ind w:left="720"/>
        <w:rPr>
          <w:rFonts w:ascii="Times New Roman" w:eastAsia="Times New Roman" w:hAnsi="Times New Roman" w:cs="Times New Roman"/>
          <w:sz w:val="20"/>
          <w:szCs w:val="20"/>
        </w:rPr>
      </w:pPr>
      <w:r w:rsidRPr="00F771F4">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1780971B" w14:textId="77777777" w:rsidR="00767EE8" w:rsidRDefault="00767EE8" w:rsidP="00767EE8">
      <w:pPr>
        <w:pStyle w:val="BodyText"/>
      </w:pPr>
    </w:p>
    <w:p w14:paraId="3B31ADC4" w14:textId="77777777" w:rsidR="00767EE8" w:rsidRDefault="00767EE8" w:rsidP="00767EE8">
      <w:pPr>
        <w:pStyle w:val="BodyText"/>
      </w:pPr>
      <w:r>
        <w:t>Agreements from RAN2#115:</w:t>
      </w:r>
    </w:p>
    <w:p w14:paraId="22D8E0F4" w14:textId="77777777" w:rsidR="002F7253" w:rsidRPr="00517A40" w:rsidRDefault="002F7253" w:rsidP="002F7253">
      <w:pPr>
        <w:pStyle w:val="Comments"/>
      </w:pPr>
    </w:p>
    <w:p w14:paraId="753AA89C" w14:textId="77777777" w:rsidR="002F7253" w:rsidRPr="00517A40" w:rsidRDefault="002F7253" w:rsidP="002F7253">
      <w:pPr>
        <w:pStyle w:val="Comments"/>
      </w:pPr>
    </w:p>
    <w:p w14:paraId="66635CCF" w14:textId="77777777" w:rsidR="002F7253" w:rsidRDefault="002F7253" w:rsidP="002F7253">
      <w:pPr>
        <w:pStyle w:val="Doc-text2"/>
        <w:pBdr>
          <w:top w:val="single" w:sz="4" w:space="1" w:color="auto"/>
          <w:left w:val="single" w:sz="4" w:space="4" w:color="auto"/>
          <w:bottom w:val="single" w:sz="4" w:space="1" w:color="auto"/>
          <w:right w:val="single" w:sz="4" w:space="4" w:color="auto"/>
        </w:pBdr>
      </w:pPr>
      <w:r w:rsidRPr="00EE7921">
        <w:rPr>
          <w:highlight w:val="green"/>
        </w:rPr>
        <w:t>Working Assumptions:</w:t>
      </w:r>
    </w:p>
    <w:p w14:paraId="0CEC6006" w14:textId="77777777" w:rsidR="002F7253" w:rsidRDefault="002F7253" w:rsidP="00234B99">
      <w:pPr>
        <w:pStyle w:val="Doc-text2"/>
        <w:numPr>
          <w:ilvl w:val="0"/>
          <w:numId w:val="31"/>
        </w:numPr>
        <w:pBdr>
          <w:top w:val="single" w:sz="4" w:space="1" w:color="auto"/>
          <w:left w:val="single" w:sz="4" w:space="4" w:color="auto"/>
          <w:bottom w:val="single" w:sz="4" w:space="1" w:color="auto"/>
          <w:right w:val="single" w:sz="4" w:space="4" w:color="auto"/>
        </w:pBdr>
      </w:pPr>
      <w:r>
        <w:t>Combination of serving and target cell reference location is supported for location report trigger event and for CHO location trigger</w:t>
      </w:r>
    </w:p>
    <w:p w14:paraId="632C6C17" w14:textId="77777777" w:rsidR="002F7253" w:rsidRDefault="002F7253" w:rsidP="00234B99">
      <w:pPr>
        <w:pStyle w:val="Doc-text2"/>
        <w:numPr>
          <w:ilvl w:val="0"/>
          <w:numId w:val="31"/>
        </w:numPr>
        <w:pBdr>
          <w:top w:val="single" w:sz="4" w:space="1" w:color="auto"/>
          <w:left w:val="single" w:sz="4" w:space="4" w:color="auto"/>
          <w:bottom w:val="single" w:sz="4" w:space="1" w:color="auto"/>
          <w:right w:val="single" w:sz="4" w:space="4" w:color="auto"/>
        </w:pBdr>
      </w:pPr>
      <w:r>
        <w:t>Specify that measurement reports can be configured to be piggybacked with location report when location based event triggers it</w:t>
      </w:r>
    </w:p>
    <w:p w14:paraId="3A3BAB1D" w14:textId="77777777" w:rsidR="002F7253" w:rsidRDefault="002F7253" w:rsidP="002F7253">
      <w:pPr>
        <w:pStyle w:val="Doc-text2"/>
        <w:pBdr>
          <w:top w:val="single" w:sz="4" w:space="1" w:color="auto"/>
          <w:left w:val="single" w:sz="4" w:space="4" w:color="auto"/>
          <w:bottom w:val="single" w:sz="4" w:space="1" w:color="auto"/>
          <w:right w:val="single" w:sz="4" w:space="4" w:color="auto"/>
        </w:pBdr>
        <w:ind w:left="1259" w:firstLine="0"/>
      </w:pPr>
      <w:r w:rsidRPr="00EE7921">
        <w:rPr>
          <w:highlight w:val="green"/>
        </w:rPr>
        <w:t>Agreements via email - from offline 103:</w:t>
      </w:r>
    </w:p>
    <w:p w14:paraId="1E203B93" w14:textId="77777777" w:rsidR="002F7253" w:rsidRDefault="002F7253" w:rsidP="00234B99">
      <w:pPr>
        <w:pStyle w:val="Doc-text2"/>
        <w:numPr>
          <w:ilvl w:val="0"/>
          <w:numId w:val="32"/>
        </w:numPr>
        <w:pBdr>
          <w:top w:val="single" w:sz="4" w:space="1" w:color="auto"/>
          <w:left w:val="single" w:sz="4" w:space="4" w:color="auto"/>
          <w:bottom w:val="single" w:sz="4" w:space="1" w:color="auto"/>
          <w:right w:val="single" w:sz="4" w:space="4" w:color="auto"/>
        </w:pBdr>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p>
    <w:p w14:paraId="559A272E" w14:textId="77777777" w:rsidR="002F7253" w:rsidRDefault="002F7253" w:rsidP="002F7253">
      <w:pPr>
        <w:pStyle w:val="Doc-text2"/>
        <w:pBdr>
          <w:top w:val="single" w:sz="4" w:space="1" w:color="auto"/>
          <w:left w:val="single" w:sz="4" w:space="4" w:color="auto"/>
          <w:bottom w:val="single" w:sz="4" w:space="1" w:color="auto"/>
          <w:right w:val="single" w:sz="4" w:space="4" w:color="auto"/>
        </w:pBdr>
      </w:pPr>
      <w:r>
        <w:tab/>
        <w:t>FFS other options</w:t>
      </w:r>
    </w:p>
    <w:p w14:paraId="15DDF312" w14:textId="77777777" w:rsidR="002F7253" w:rsidRDefault="002F7253" w:rsidP="00234B99">
      <w:pPr>
        <w:pStyle w:val="Doc-text2"/>
        <w:numPr>
          <w:ilvl w:val="0"/>
          <w:numId w:val="32"/>
        </w:numPr>
        <w:pBdr>
          <w:top w:val="single" w:sz="4" w:space="1" w:color="auto"/>
          <w:left w:val="single" w:sz="4" w:space="4" w:color="auto"/>
          <w:bottom w:val="single" w:sz="4" w:space="1" w:color="auto"/>
          <w:right w:val="single" w:sz="4" w:space="4" w:color="auto"/>
        </w:pBdr>
      </w:pPr>
      <w:r>
        <w:t>Specify hysteresis and time to trigger for the location event for RRM and CHO</w:t>
      </w:r>
    </w:p>
    <w:p w14:paraId="7EC2A777" w14:textId="77777777" w:rsidR="002F7253" w:rsidRDefault="002F7253" w:rsidP="00234B99">
      <w:pPr>
        <w:pStyle w:val="Doc-text2"/>
        <w:numPr>
          <w:ilvl w:val="0"/>
          <w:numId w:val="32"/>
        </w:numPr>
        <w:pBdr>
          <w:top w:val="single" w:sz="4" w:space="1" w:color="auto"/>
          <w:left w:val="single" w:sz="4" w:space="4" w:color="auto"/>
          <w:bottom w:val="single" w:sz="4" w:space="1" w:color="auto"/>
          <w:right w:val="single" w:sz="4" w:space="4" w:color="auto"/>
        </w:pBdr>
      </w:pPr>
      <w:r>
        <w:t>Timing information from RRCReconfiguration message in RRC running CR is removed</w:t>
      </w:r>
    </w:p>
    <w:p w14:paraId="0C9F8DB3" w14:textId="77777777" w:rsidR="002F7253" w:rsidRDefault="002F7253" w:rsidP="00234B99">
      <w:pPr>
        <w:pStyle w:val="Doc-text2"/>
        <w:numPr>
          <w:ilvl w:val="0"/>
          <w:numId w:val="32"/>
        </w:numPr>
        <w:pBdr>
          <w:top w:val="single" w:sz="4" w:space="1" w:color="auto"/>
          <w:left w:val="single" w:sz="4" w:space="4" w:color="auto"/>
          <w:bottom w:val="single" w:sz="4" w:space="1" w:color="auto"/>
          <w:right w:val="single" w:sz="4" w:space="4" w:color="auto"/>
        </w:pBdr>
      </w:pPr>
      <w:r>
        <w:t>UE is allowed to perform HO only during T1 to T2</w:t>
      </w:r>
    </w:p>
    <w:p w14:paraId="600BBD1B" w14:textId="77777777" w:rsidR="002F7253" w:rsidRDefault="002F7253" w:rsidP="00234B99">
      <w:pPr>
        <w:pStyle w:val="Doc-text2"/>
        <w:numPr>
          <w:ilvl w:val="0"/>
          <w:numId w:val="32"/>
        </w:numPr>
        <w:pBdr>
          <w:top w:val="single" w:sz="4" w:space="1" w:color="auto"/>
          <w:left w:val="single" w:sz="4" w:space="4" w:color="auto"/>
          <w:bottom w:val="single" w:sz="4" w:space="1" w:color="auto"/>
          <w:right w:val="single" w:sz="4" w:space="4" w:color="auto"/>
        </w:pBdr>
      </w:pPr>
      <w:r>
        <w:t>Agree to limit to A or B and continue discussion between options A and B</w:t>
      </w:r>
    </w:p>
    <w:p w14:paraId="3D628DAD" w14:textId="77777777" w:rsidR="002F7253" w:rsidRDefault="002F7253" w:rsidP="002F7253">
      <w:pPr>
        <w:pStyle w:val="Doc-text2"/>
        <w:pBdr>
          <w:top w:val="single" w:sz="4" w:space="1" w:color="auto"/>
          <w:left w:val="single" w:sz="4" w:space="4" w:color="auto"/>
          <w:bottom w:val="single" w:sz="4" w:space="1" w:color="auto"/>
          <w:right w:val="single" w:sz="4" w:space="4" w:color="auto"/>
        </w:pBdr>
      </w:pPr>
      <w:r>
        <w:tab/>
        <w:t>Option A: UTC time + duration/timer, e.g. 00:00:01 + 40s</w:t>
      </w:r>
    </w:p>
    <w:p w14:paraId="08E1E9A9" w14:textId="77777777" w:rsidR="002F7253" w:rsidRDefault="002F7253" w:rsidP="002F7253">
      <w:pPr>
        <w:pStyle w:val="Doc-text2"/>
        <w:pBdr>
          <w:top w:val="single" w:sz="4" w:space="1" w:color="auto"/>
          <w:left w:val="single" w:sz="4" w:space="4" w:color="auto"/>
          <w:bottom w:val="single" w:sz="4" w:space="1" w:color="auto"/>
          <w:right w:val="single" w:sz="4" w:space="4" w:color="auto"/>
        </w:pBdr>
      </w:pPr>
      <w:r>
        <w:tab/>
        <w:t>Option B: Two UTC time to indicate the start (T1) and end time (T2) of the candidate cell, e.g. 00:00:01 + 00:00:41</w:t>
      </w:r>
    </w:p>
    <w:p w14:paraId="5DCDBAA1" w14:textId="6D543715" w:rsidR="002F7253" w:rsidRDefault="002F7253" w:rsidP="002F7253">
      <w:pPr>
        <w:pStyle w:val="Comments"/>
      </w:pPr>
    </w:p>
    <w:p w14:paraId="52D2179D" w14:textId="77777777" w:rsidR="00480C8B" w:rsidRPr="00517A40" w:rsidRDefault="00480C8B" w:rsidP="002F7253">
      <w:pPr>
        <w:pStyle w:val="Comments"/>
      </w:pPr>
    </w:p>
    <w:p w14:paraId="6DA85E2D"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Agreements via email - from offline 103 second round:</w:t>
      </w:r>
    </w:p>
    <w:p w14:paraId="6F31C9C3" w14:textId="77777777" w:rsidR="00480C8B" w:rsidRDefault="00480C8B" w:rsidP="00480C8B">
      <w:pPr>
        <w:pStyle w:val="Doc-text2"/>
        <w:numPr>
          <w:ilvl w:val="0"/>
          <w:numId w:val="35"/>
        </w:numPr>
        <w:pBdr>
          <w:top w:val="single" w:sz="4" w:space="1" w:color="auto"/>
          <w:left w:val="single" w:sz="4" w:space="4" w:color="auto"/>
          <w:bottom w:val="single" w:sz="4" w:space="1" w:color="auto"/>
          <w:right w:val="single" w:sz="4" w:space="4" w:color="auto"/>
        </w:pBdr>
      </w:pPr>
      <w:r>
        <w:t>RAN2 adopts Option 1: UTC time + duration/timer, e.g. 00:00:01 + 40s for representing T1 and T2 for CHO time event.</w:t>
      </w:r>
    </w:p>
    <w:p w14:paraId="6416252A"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2.</w:t>
      </w:r>
      <w:r>
        <w:tab/>
      </w:r>
      <w:r w:rsidRPr="00493CEF">
        <w:t xml:space="preserve">RAN2 adopts </w:t>
      </w:r>
      <w:r>
        <w:t xml:space="preserve">options C: location and RRM and D: time </w:t>
      </w:r>
      <w:r w:rsidRPr="00493CEF">
        <w:t>and RRM to be configuration options for CHO</w:t>
      </w:r>
    </w:p>
    <w:p w14:paraId="409CA8AE"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3.</w:t>
      </w:r>
      <w:r>
        <w:tab/>
        <w:t>RAN2 down priorities further enhacnements for connected mode for Rel-17 for TN-NTN mobility</w:t>
      </w:r>
      <w:r>
        <w:tab/>
      </w:r>
    </w:p>
    <w:p w14:paraId="54FFEEAE"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01BFA678" w14:textId="14F6101F" w:rsidR="006F26F7" w:rsidRDefault="006F26F7" w:rsidP="006F26F7">
      <w:pPr>
        <w:pStyle w:val="Comments"/>
      </w:pPr>
    </w:p>
    <w:p w14:paraId="3ED52D89" w14:textId="77777777" w:rsidR="00480C8B" w:rsidRDefault="00480C8B" w:rsidP="006F26F7">
      <w:pPr>
        <w:pStyle w:val="Comments"/>
      </w:pPr>
    </w:p>
    <w:p w14:paraId="7446847C"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Agreements via email - from offline 112:</w:t>
      </w:r>
    </w:p>
    <w:p w14:paraId="505578FD" w14:textId="77777777" w:rsidR="00480C8B" w:rsidRDefault="00480C8B" w:rsidP="00480C8B">
      <w:pPr>
        <w:pStyle w:val="Doc-text2"/>
        <w:numPr>
          <w:ilvl w:val="0"/>
          <w:numId w:val="36"/>
        </w:numPr>
        <w:pBdr>
          <w:top w:val="single" w:sz="4" w:space="1" w:color="auto"/>
          <w:left w:val="single" w:sz="4" w:space="4" w:color="auto"/>
          <w:bottom w:val="single" w:sz="4" w:space="1" w:color="auto"/>
          <w:right w:val="single" w:sz="4" w:space="4" w:color="auto"/>
        </w:pBdr>
      </w:pPr>
      <w:r>
        <w:t>The specific maximum number of SMTC configuration in one measurement object with the same ssbFrequency can be 4. And a LS will be sent to RAN4 to confirm the conclusion.</w:t>
      </w:r>
    </w:p>
    <w:p w14:paraId="7A0F6A22" w14:textId="77777777" w:rsidR="00480C8B" w:rsidRDefault="00480C8B" w:rsidP="00480C8B">
      <w:pPr>
        <w:pStyle w:val="Doc-text2"/>
        <w:numPr>
          <w:ilvl w:val="0"/>
          <w:numId w:val="36"/>
        </w:numPr>
        <w:pBdr>
          <w:top w:val="single" w:sz="4" w:space="1" w:color="auto"/>
          <w:left w:val="single" w:sz="4" w:space="4" w:color="auto"/>
          <w:bottom w:val="single" w:sz="4" w:space="1" w:color="auto"/>
          <w:right w:val="single" w:sz="4" w:space="4" w:color="auto"/>
        </w:pBdr>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3C678D98" w14:textId="77777777" w:rsidR="00480C8B" w:rsidRDefault="00480C8B" w:rsidP="00480C8B">
      <w:pPr>
        <w:pStyle w:val="Doc-text2"/>
        <w:numPr>
          <w:ilvl w:val="0"/>
          <w:numId w:val="36"/>
        </w:numPr>
        <w:pBdr>
          <w:top w:val="single" w:sz="4" w:space="1" w:color="auto"/>
          <w:left w:val="single" w:sz="4" w:space="4" w:color="auto"/>
          <w:bottom w:val="single" w:sz="4" w:space="1" w:color="auto"/>
          <w:right w:val="single" w:sz="4" w:space="4" w:color="auto"/>
        </w:pBdr>
      </w:pPr>
      <w:r>
        <w:t>In NTN, it is necessary of the UE to report assistant information to the NW (which can be configured by NW or upon NW’s request) to assist NW calculating the offset for SMTC/GAP configurations. FFS the detailed information.</w:t>
      </w:r>
    </w:p>
    <w:p w14:paraId="24B5FA0D" w14:textId="77777777" w:rsidR="00480C8B" w:rsidRPr="00517A40" w:rsidRDefault="00480C8B" w:rsidP="006F26F7">
      <w:pPr>
        <w:pStyle w:val="Comments"/>
      </w:pPr>
    </w:p>
    <w:p w14:paraId="59A431FD" w14:textId="77777777" w:rsidR="00480C8B" w:rsidRDefault="00480C8B" w:rsidP="00480C8B">
      <w:pPr>
        <w:pStyle w:val="Doc-text2"/>
        <w:pBdr>
          <w:top w:val="single" w:sz="4" w:space="1" w:color="auto"/>
          <w:left w:val="single" w:sz="4" w:space="4" w:color="auto"/>
          <w:bottom w:val="single" w:sz="4" w:space="1" w:color="auto"/>
          <w:right w:val="single" w:sz="4" w:space="4" w:color="auto"/>
        </w:pBdr>
      </w:pPr>
      <w:r>
        <w:t>Agreements:</w:t>
      </w:r>
    </w:p>
    <w:p w14:paraId="0B1E9C97" w14:textId="77777777" w:rsidR="00480C8B" w:rsidRDefault="00480C8B" w:rsidP="00480C8B">
      <w:pPr>
        <w:pStyle w:val="Doc-text2"/>
        <w:numPr>
          <w:ilvl w:val="0"/>
          <w:numId w:val="37"/>
        </w:numPr>
        <w:pBdr>
          <w:top w:val="single" w:sz="4" w:space="1" w:color="auto"/>
          <w:left w:val="single" w:sz="4" w:space="4" w:color="auto"/>
          <w:bottom w:val="single" w:sz="4" w:space="1" w:color="auto"/>
          <w:right w:val="single" w:sz="4" w:space="4" w:color="auto"/>
        </w:pBdr>
      </w:pPr>
      <w:r>
        <w:t>The UE can be configured with multiple SMTCs per carrier. FFS if the UE can use only a partial set or all of them in parallel, and in case FFS whether based on network configuration or UE implementation</w:t>
      </w:r>
    </w:p>
    <w:p w14:paraId="69E43F2D" w14:textId="7458A405" w:rsidR="00767EE8" w:rsidRDefault="00767EE8" w:rsidP="00C93652">
      <w:pPr>
        <w:spacing w:before="240"/>
        <w:jc w:val="both"/>
        <w:rPr>
          <w:rFonts w:ascii="Arial" w:eastAsia="Malgun Gothic" w:hAnsi="Arial" w:cs="Arial"/>
        </w:rPr>
      </w:pPr>
    </w:p>
    <w:p w14:paraId="07994BA1" w14:textId="77777777" w:rsidR="00767EE8" w:rsidRPr="00966540" w:rsidRDefault="00767EE8" w:rsidP="00C93652">
      <w:pPr>
        <w:spacing w:before="240"/>
        <w:jc w:val="both"/>
        <w:rPr>
          <w:rFonts w:ascii="Arial" w:eastAsia="Malgun Gothic" w:hAnsi="Arial" w:cs="Arial"/>
        </w:rPr>
      </w:pPr>
    </w:p>
    <w:p w14:paraId="1CF8A742" w14:textId="283F8362" w:rsidR="00C93652" w:rsidRDefault="0081443F" w:rsidP="00C93652">
      <w:pPr>
        <w:overflowPunct w:val="0"/>
        <w:autoSpaceDE w:val="0"/>
        <w:autoSpaceDN w:val="0"/>
        <w:adjustRightInd w:val="0"/>
        <w:spacing w:after="180"/>
        <w:rPr>
          <w:rFonts w:ascii="Arial" w:eastAsia="Times New Roman" w:hAnsi="Arial" w:cs="Arial"/>
        </w:rPr>
      </w:pPr>
      <w:r w:rsidRPr="00966540">
        <w:rPr>
          <w:rFonts w:ascii="Arial" w:eastAsia="Times New Roman" w:hAnsi="Arial" w:cs="Arial"/>
        </w:rPr>
        <w:t>In this paper we discuss further details</w:t>
      </w:r>
      <w:r w:rsidR="00134D63" w:rsidRPr="00966540">
        <w:rPr>
          <w:rFonts w:ascii="Arial" w:eastAsia="Times New Roman" w:hAnsi="Arial" w:cs="Arial"/>
        </w:rPr>
        <w:t xml:space="preserve"> of </w:t>
      </w:r>
      <w:r w:rsidR="00803650" w:rsidRPr="00966540">
        <w:rPr>
          <w:rFonts w:ascii="Arial" w:eastAsia="Times New Roman" w:hAnsi="Arial" w:cs="Arial"/>
        </w:rPr>
        <w:t xml:space="preserve">location reporting, </w:t>
      </w:r>
      <w:r w:rsidRPr="00966540">
        <w:rPr>
          <w:rFonts w:ascii="Arial" w:eastAsia="Times New Roman" w:hAnsi="Arial" w:cs="Arial"/>
        </w:rPr>
        <w:t>SM</w:t>
      </w:r>
      <w:r w:rsidR="00966540">
        <w:rPr>
          <w:rFonts w:ascii="Arial" w:eastAsia="Times New Roman" w:hAnsi="Arial" w:cs="Arial"/>
        </w:rPr>
        <w:t>T</w:t>
      </w:r>
      <w:r w:rsidRPr="00966540">
        <w:rPr>
          <w:rFonts w:ascii="Arial" w:eastAsia="Times New Roman" w:hAnsi="Arial" w:cs="Arial"/>
        </w:rPr>
        <w:t>C and measurement gaps details</w:t>
      </w:r>
      <w:r w:rsidR="00BD5557">
        <w:rPr>
          <w:rFonts w:ascii="Arial" w:eastAsia="Times New Roman" w:hAnsi="Arial" w:cs="Arial"/>
        </w:rPr>
        <w:t>.</w:t>
      </w:r>
      <w:r w:rsidR="00945119">
        <w:rPr>
          <w:rFonts w:ascii="Arial" w:eastAsia="Times New Roman" w:hAnsi="Arial" w:cs="Arial"/>
        </w:rPr>
        <w:t xml:space="preserve"> </w:t>
      </w:r>
      <w:r w:rsidR="00945119" w:rsidRPr="00945119">
        <w:rPr>
          <w:rFonts w:ascii="Arial" w:eastAsia="Times New Roman" w:hAnsi="Arial" w:cs="Arial"/>
        </w:rPr>
        <w:t>Also two remaining aspects on Conditional Handover is discussed.</w:t>
      </w:r>
    </w:p>
    <w:p w14:paraId="6ABEF469" w14:textId="77777777" w:rsidR="003B6B02" w:rsidRPr="00517A40" w:rsidRDefault="003B6B02" w:rsidP="003B6B02">
      <w:pPr>
        <w:pStyle w:val="CommentText"/>
      </w:pPr>
    </w:p>
    <w:p w14:paraId="05AB991A" w14:textId="3C19C895" w:rsidR="00F86824" w:rsidRDefault="0086683A" w:rsidP="00C165D9">
      <w:pPr>
        <w:pStyle w:val="Heading1"/>
        <w:rPr>
          <w:lang w:val="en-US"/>
        </w:rPr>
      </w:pPr>
      <w:bookmarkStart w:id="0" w:name="_Hlk84414552"/>
      <w:bookmarkStart w:id="1" w:name="_Ref178064866"/>
      <w:bookmarkStart w:id="2" w:name="_Hlk51759500"/>
      <w:r>
        <w:rPr>
          <w:lang w:val="en-US"/>
        </w:rPr>
        <w:t xml:space="preserve">Remaining aspects </w:t>
      </w:r>
      <w:r w:rsidR="004F09E3">
        <w:rPr>
          <w:lang w:val="en-US"/>
        </w:rPr>
        <w:t xml:space="preserve">for </w:t>
      </w:r>
      <w:proofErr w:type="gramStart"/>
      <w:r w:rsidR="00F854A7">
        <w:rPr>
          <w:lang w:val="en-US"/>
        </w:rPr>
        <w:t>location based</w:t>
      </w:r>
      <w:proofErr w:type="gramEnd"/>
      <w:r w:rsidR="00F854A7">
        <w:rPr>
          <w:lang w:val="en-US"/>
        </w:rPr>
        <w:t xml:space="preserve"> </w:t>
      </w:r>
      <w:r w:rsidR="004F09E3">
        <w:rPr>
          <w:lang w:val="en-US"/>
        </w:rPr>
        <w:t>reporting</w:t>
      </w:r>
    </w:p>
    <w:bookmarkEnd w:id="0"/>
    <w:p w14:paraId="16546456" w14:textId="5F0DBCEF" w:rsidR="000862FB" w:rsidRDefault="00F04FCB" w:rsidP="00E810F2">
      <w:pPr>
        <w:pStyle w:val="BodyText"/>
      </w:pPr>
      <w:r>
        <w:t xml:space="preserve">RAN2 send out </w:t>
      </w:r>
      <w:r w:rsidR="00352E89">
        <w:t>LS</w:t>
      </w:r>
      <w:r w:rsidR="009267B9">
        <w:t>/reply LS</w:t>
      </w:r>
      <w:r w:rsidR="00352E89">
        <w:t xml:space="preserve"> regarding UE location reporting to RAN3 and SA3</w:t>
      </w:r>
      <w:r w:rsidR="006D64A7">
        <w:t xml:space="preserve"> </w:t>
      </w:r>
      <w:r w:rsidR="006D64A7">
        <w:fldChar w:fldCharType="begin"/>
      </w:r>
      <w:r w:rsidR="006D64A7">
        <w:instrText xml:space="preserve"> REF _Ref84412140 \r \h </w:instrText>
      </w:r>
      <w:r w:rsidR="006D64A7">
        <w:fldChar w:fldCharType="separate"/>
      </w:r>
      <w:r w:rsidR="00874162">
        <w:t>[3]</w:t>
      </w:r>
      <w:r w:rsidR="006D64A7">
        <w:fldChar w:fldCharType="end"/>
      </w:r>
      <w:r w:rsidR="006D64A7">
        <w:fldChar w:fldCharType="begin"/>
      </w:r>
      <w:r w:rsidR="006D64A7">
        <w:instrText xml:space="preserve"> REF _Ref84412142 \r \h </w:instrText>
      </w:r>
      <w:r w:rsidR="006D64A7">
        <w:fldChar w:fldCharType="separate"/>
      </w:r>
      <w:r w:rsidR="00874162">
        <w:t>[4]</w:t>
      </w:r>
      <w:r w:rsidR="006D64A7">
        <w:fldChar w:fldCharType="end"/>
      </w:r>
      <w:r w:rsidR="009267B9">
        <w:t xml:space="preserve">. </w:t>
      </w:r>
      <w:r w:rsidR="00093533">
        <w:t>The LS to RAN3 talks about</w:t>
      </w:r>
      <w:r w:rsidR="00FE6538">
        <w:t xml:space="preserve"> coarse</w:t>
      </w:r>
      <w:r w:rsidR="00093533">
        <w:t xml:space="preserve"> reporting</w:t>
      </w:r>
      <w:r w:rsidR="00FE6538">
        <w:t xml:space="preserve"> and SA3 deciding on user consent,</w:t>
      </w:r>
      <w:r w:rsidR="00471D3F">
        <w:t xml:space="preserve">. However, we hope that SA3 response will </w:t>
      </w:r>
      <w:r w:rsidR="000862FB">
        <w:t>specify for which reporting user consent is needed if it is needed.</w:t>
      </w:r>
    </w:p>
    <w:p w14:paraId="343E2A74" w14:textId="66D54971" w:rsidR="000862FB" w:rsidRDefault="000862FB" w:rsidP="00E810F2">
      <w:pPr>
        <w:pStyle w:val="BodyText"/>
      </w:pPr>
      <w:r>
        <w:t xml:space="preserve">As the </w:t>
      </w:r>
      <w:r w:rsidR="00940018">
        <w:t xml:space="preserve">RAN2 </w:t>
      </w:r>
      <w:r w:rsidR="00E630A0">
        <w:t>conclusions</w:t>
      </w:r>
      <w:r w:rsidR="00940018">
        <w:t xml:space="preserve"> about location reporting are working assumptions instead of agreements, the location reporting </w:t>
      </w:r>
      <w:r w:rsidR="003F1755">
        <w:t xml:space="preserve">part </w:t>
      </w:r>
      <w:r w:rsidR="00940018">
        <w:t>is not currently implemented</w:t>
      </w:r>
      <w:r w:rsidR="003F1755">
        <w:t xml:space="preserve"> in the running RRC CR. Regardless, RAN2 should discuss </w:t>
      </w:r>
      <w:r w:rsidR="009530B1">
        <w:t xml:space="preserve">further the format of possible coarse report and whether it could already be implemented even </w:t>
      </w:r>
      <w:r w:rsidR="00676F1E">
        <w:t>response from SA3 would take some time.</w:t>
      </w:r>
    </w:p>
    <w:bookmarkEnd w:id="1"/>
    <w:bookmarkEnd w:id="2"/>
    <w:p w14:paraId="438864BD" w14:textId="77777777" w:rsidR="00BB2972" w:rsidRPr="00517A40" w:rsidRDefault="00BB2972" w:rsidP="00BB2972">
      <w:pPr>
        <w:pStyle w:val="BodyText"/>
      </w:pPr>
      <w:r w:rsidRPr="00517A40">
        <w:t xml:space="preserve">In legacy terrestrial networks, the network is always aware of the cell Id (or rather Cell Global Identity, CGI) where a particular UE is located. This is expected to be true also in NTN. However, it is expected that NTN cells might have a size that is much larger than the typical cell size in terrestrial networks. NTN cells could potentially have a radius of several 100 km. </w:t>
      </w:r>
    </w:p>
    <w:p w14:paraId="628D86CB" w14:textId="77777777" w:rsidR="00BB2972" w:rsidRPr="00517A40" w:rsidRDefault="00BB2972" w:rsidP="00BB2972">
      <w:pPr>
        <w:pStyle w:val="BodyText"/>
      </w:pPr>
      <w:r w:rsidRPr="00517A40">
        <w:t>This poses some challenges in situations where the network needs to know the physical UE location on a finer granularity than the size of the NTN cell. For example, a large NTN cell might span over several different countries, and correct CN selection is needed in order to provide the appropriate services for the UE, including Lawful Intercept (LI) and emergency services.</w:t>
      </w:r>
    </w:p>
    <w:p w14:paraId="6A78F54E" w14:textId="77777777" w:rsidR="00BB2972" w:rsidRPr="00517A40" w:rsidRDefault="00BB2972" w:rsidP="00BB2972">
      <w:pPr>
        <w:pStyle w:val="BodyText"/>
      </w:pPr>
      <w:r w:rsidRPr="00517A40">
        <w:t>RAN2 has thus agreed to work on a solution that allows to construct a CGI with a granularity that is comparable to that in a terrestrial network [1]:</w:t>
      </w:r>
    </w:p>
    <w:p w14:paraId="3D67B031" w14:textId="77777777" w:rsidR="00BB2972" w:rsidRDefault="00BB2972" w:rsidP="00BB2972">
      <w:pPr>
        <w:pStyle w:val="Doc-text2"/>
        <w:pBdr>
          <w:top w:val="single" w:sz="4" w:space="1" w:color="auto"/>
          <w:left w:val="single" w:sz="4" w:space="4" w:color="auto"/>
          <w:bottom w:val="single" w:sz="4" w:space="1" w:color="auto"/>
          <w:right w:val="single" w:sz="4" w:space="4" w:color="auto"/>
        </w:pBdr>
      </w:pPr>
      <w:r>
        <w:t>Agreements via email - from offline 108:</w:t>
      </w:r>
    </w:p>
    <w:p w14:paraId="4DDF0F22" w14:textId="77777777" w:rsidR="00BB2972" w:rsidRDefault="00BB2972" w:rsidP="00234B99">
      <w:pPr>
        <w:pStyle w:val="Doc-text2"/>
        <w:numPr>
          <w:ilvl w:val="0"/>
          <w:numId w:val="27"/>
        </w:numPr>
        <w:pBdr>
          <w:top w:val="single" w:sz="4" w:space="1" w:color="auto"/>
          <w:left w:val="single" w:sz="4" w:space="4" w:color="auto"/>
          <w:bottom w:val="single" w:sz="4" w:space="1" w:color="auto"/>
          <w:right w:val="single" w:sz="4" w:space="4" w:color="auto"/>
        </w:pBdr>
      </w:pPr>
      <w:r w:rsidRPr="001D70A4">
        <w:t>RAN2 will work on a solution to ensure that the CGI constructed by NG-RAN corresponds to a fixed geographical area with a size comparable with a cell for TN including connected mode and initial access.</w:t>
      </w:r>
    </w:p>
    <w:p w14:paraId="01546233" w14:textId="77777777" w:rsidR="00BB2972" w:rsidRPr="00517A40" w:rsidRDefault="00BB2972" w:rsidP="00BB2972"/>
    <w:p w14:paraId="1D47DFA6" w14:textId="77777777" w:rsidR="00BB2972" w:rsidRDefault="00BB2972" w:rsidP="00BB2972">
      <w:pPr>
        <w:pStyle w:val="Doc-text2"/>
        <w:pBdr>
          <w:top w:val="single" w:sz="4" w:space="1" w:color="auto"/>
          <w:left w:val="single" w:sz="4" w:space="4" w:color="auto"/>
          <w:bottom w:val="single" w:sz="4" w:space="1" w:color="auto"/>
          <w:right w:val="single" w:sz="4" w:space="4" w:color="auto"/>
        </w:pBdr>
      </w:pPr>
      <w:r>
        <w:t>Agreements via email (from offline 108 - second round)</w:t>
      </w:r>
    </w:p>
    <w:p w14:paraId="695BA1B8" w14:textId="77777777" w:rsidR="00BB2972" w:rsidRDefault="00BB2972" w:rsidP="00234B99">
      <w:pPr>
        <w:pStyle w:val="Doc-text2"/>
        <w:numPr>
          <w:ilvl w:val="0"/>
          <w:numId w:val="29"/>
        </w:numPr>
        <w:pBdr>
          <w:top w:val="single" w:sz="4" w:space="1" w:color="auto"/>
          <w:left w:val="single" w:sz="4" w:space="4" w:color="auto"/>
          <w:bottom w:val="single" w:sz="4" w:space="1" w:color="auto"/>
          <w:right w:val="single" w:sz="4" w:space="4" w:color="auto"/>
        </w:pBdr>
      </w:pPr>
      <w:r>
        <w:t>RAN2 will work on a solution to ensure that the CGI constructed by NG-RAN can correspond to a fixed geographical area comparable with a TN cell with a radius of ~2km or more.</w:t>
      </w:r>
    </w:p>
    <w:p w14:paraId="7B5800F2" w14:textId="77777777" w:rsidR="00BB2972" w:rsidRDefault="00BB2972" w:rsidP="00234B99">
      <w:pPr>
        <w:pStyle w:val="Doc-text2"/>
        <w:numPr>
          <w:ilvl w:val="0"/>
          <w:numId w:val="29"/>
        </w:numPr>
        <w:pBdr>
          <w:top w:val="single" w:sz="4" w:space="1" w:color="auto"/>
          <w:left w:val="single" w:sz="4" w:space="4" w:color="auto"/>
          <w:bottom w:val="single" w:sz="4" w:space="1" w:color="auto"/>
          <w:right w:val="single" w:sz="4" w:space="4" w:color="auto"/>
        </w:pBdr>
      </w:pPr>
      <w:r>
        <w:t>Send an LS to RAN3, SA2, SA3 and SA3-LI to inform them of RAN2 decision and check whether it's consistent with their requirements</w:t>
      </w:r>
    </w:p>
    <w:p w14:paraId="7A29380D" w14:textId="77777777" w:rsidR="00BB2972" w:rsidRPr="00517A40" w:rsidRDefault="00BB2972" w:rsidP="00BB2972">
      <w:pPr>
        <w:pStyle w:val="BodyText"/>
      </w:pPr>
    </w:p>
    <w:p w14:paraId="1A58398B" w14:textId="77777777" w:rsidR="00BB2972" w:rsidRPr="00517A40" w:rsidRDefault="00BB2972" w:rsidP="00BB2972">
      <w:pPr>
        <w:pStyle w:val="BodyText"/>
      </w:pPr>
      <w:r w:rsidRPr="00517A40">
        <w:t>In this contribution, we provide our views on this issue and propose an index-based solution that allows for the network to be aware of the approximate UE location without disclosing its exact position, and with minimal signaling overhead.</w:t>
      </w:r>
    </w:p>
    <w:p w14:paraId="4C7E4331" w14:textId="77777777" w:rsidR="00BB2972" w:rsidRPr="00517A40" w:rsidRDefault="00BB2972" w:rsidP="00BB2972">
      <w:pPr>
        <w:jc w:val="both"/>
        <w:rPr>
          <w:rFonts w:ascii="Arial" w:hAnsi="Arial" w:cs="Arial"/>
          <w:lang w:eastAsia="ja-JP"/>
        </w:rPr>
      </w:pPr>
      <w:r w:rsidRPr="00517A40">
        <w:rPr>
          <w:rFonts w:ascii="Arial" w:hAnsi="Arial" w:cs="Arial"/>
          <w:lang w:eastAsia="ja-JP"/>
        </w:rPr>
        <w:t xml:space="preserve">To establish a fixed association between a CGI and a geographical area, the surface of the Earth has to be divided into geographically defined, contiguous and non-overlapping areas. This can be done easily using the longitude and latitude net pattern. </w:t>
      </w:r>
    </w:p>
    <w:p w14:paraId="22E49514" w14:textId="77777777" w:rsidR="00BB2972" w:rsidRPr="00517A40" w:rsidRDefault="00BB2972" w:rsidP="00BB2972">
      <w:pPr>
        <w:jc w:val="both"/>
        <w:rPr>
          <w:rFonts w:ascii="Arial" w:hAnsi="Arial" w:cs="Arial"/>
          <w:lang w:eastAsia="ja-JP"/>
        </w:rPr>
      </w:pPr>
      <w:r w:rsidRPr="00517A40">
        <w:rPr>
          <w:rFonts w:ascii="Arial" w:hAnsi="Arial" w:cs="Arial"/>
          <w:lang w:eastAsia="ja-JP"/>
        </w:rPr>
        <w:t xml:space="preserve">To avoid that the areas become smaller closer to the poles, the Earth could be divided into stripes going around the globe parallel with the latitudes. Let’s say each “stripe” is 1 degree wide (e.g. between 0 and 1 degrees latitude, between 1 and 2 degrees latitude, etc.). This gives 180 stripes, each one following a latitude around the earth. At the equator, a longitudinal size of also 1 degree would result in 360 areas within the stripe. The closer a stripe is to the poles (i.e., the larger the latitude angle), the fewer areas it needs to contain to maintain an approximately constant size. The number of areas in a stripe could follow some trigonometric formula, e.g. simply N = k cos(v), where N is the number of areas in the stripe, k is the number of areas in the stripe closest to the equator and v is the latitude angle (where both north and south are counted as positive values). Obviously, N should be rounded to the nearest integer. In our example with 1 degree area size, this would result in 360 areas in the stripe closest to the equator, 312 areas at a latitude of 30 degrees, 180 areas at a latitude of 60 degrees, and 6 areas at the stripe closest to the pole. This way, the areas could be kept roughly of the same size over the Earth. </w:t>
      </w:r>
    </w:p>
    <w:p w14:paraId="3637F7C8" w14:textId="77777777" w:rsidR="00BB2972" w:rsidRPr="00517A40" w:rsidRDefault="00BB2972" w:rsidP="00BB2972">
      <w:pPr>
        <w:jc w:val="both"/>
        <w:rPr>
          <w:rFonts w:ascii="Arial" w:hAnsi="Arial" w:cs="Arial"/>
          <w:lang w:eastAsia="ja-JP"/>
        </w:rPr>
      </w:pPr>
      <w:r w:rsidRPr="00517A40">
        <w:rPr>
          <w:rFonts w:ascii="Arial" w:hAnsi="Arial" w:cs="Arial"/>
          <w:lang w:eastAsia="ja-JP"/>
        </w:rPr>
        <w:t>Different area configurations with different area sizes could be specified to satisfy different operator’s needs, e.g. depending on NTN type (LEO, GEO, etc.) and satellite density, and the system information could indicate which configuration that is used.</w:t>
      </w:r>
    </w:p>
    <w:p w14:paraId="1C29937E" w14:textId="77777777" w:rsidR="00BB2972" w:rsidRPr="00517A40" w:rsidRDefault="00BB2972" w:rsidP="00BB2972">
      <w:pPr>
        <w:jc w:val="both"/>
        <w:rPr>
          <w:rFonts w:ascii="Arial" w:hAnsi="Arial" w:cs="Arial"/>
          <w:lang w:eastAsia="ja-JP"/>
        </w:rPr>
      </w:pPr>
      <w:r w:rsidRPr="00517A40">
        <w:rPr>
          <w:rFonts w:ascii="Arial" w:hAnsi="Arial" w:cs="Arial"/>
          <w:lang w:eastAsia="ja-JP"/>
        </w:rPr>
        <w:t>A possible optimization of this scheme would be to configure different area densities on different parts of the globe, e.g. to achieve a sparser grid over the oceans, or an extra-dense grid over densely populated areas.</w:t>
      </w:r>
    </w:p>
    <w:p w14:paraId="6698744D" w14:textId="77777777" w:rsidR="00D62BCC" w:rsidRPr="00517A40" w:rsidRDefault="00D62BCC" w:rsidP="00D62BCC">
      <w:pPr>
        <w:pStyle w:val="BodyText"/>
      </w:pPr>
      <w:r w:rsidRPr="00517A40">
        <w:t xml:space="preserve">NTN UEs are required to be GNSS-capable and will use their GNSS location e.g. for time and frequency pre-compensation. It would thus be possible for the UE to report the GNSS location to the gNB, and for the gNB to construct the area index or CGI to be sent to the core network. However, to enable rough location as stated in the LS, an index based location reporting should be used. That is, the UE could do the translation to an area index/CGI itself, based on its determined GNSS position, </w:t>
      </w:r>
      <w:r w:rsidRPr="00517A40">
        <w:rPr>
          <w:rFonts w:cs="Arial"/>
          <w:lang w:eastAsia="ja-JP"/>
        </w:rPr>
        <w:t>and report only the area index to the network.</w:t>
      </w:r>
    </w:p>
    <w:p w14:paraId="01B2A1E4" w14:textId="1A59E83C" w:rsidR="00D62BCC" w:rsidRPr="00517A40" w:rsidRDefault="00D62BCC" w:rsidP="00D62BCC">
      <w:pPr>
        <w:jc w:val="both"/>
        <w:rPr>
          <w:rFonts w:ascii="Arial" w:hAnsi="Arial" w:cs="Arial"/>
          <w:lang w:eastAsia="ja-JP"/>
        </w:rPr>
      </w:pPr>
      <w:r w:rsidRPr="00517A40">
        <w:rPr>
          <w:rFonts w:ascii="Arial" w:hAnsi="Arial" w:cs="Arial"/>
          <w:lang w:eastAsia="ja-JP"/>
        </w:rPr>
        <w:t>If a UE should report the area within which it is located instead of e.g. its GNSS location, the areas need to be indexed, for example starting with the northernmost stripe at longitude 0, going around the stripe, then the next stripe to the south, starting at longitude 0, etc. The desired granularity determines the number of areas and thus the number of bits needed for the index. As an example, a 24-bit index will allow for up to 2</w:t>
      </w:r>
      <w:r w:rsidRPr="00517A40">
        <w:rPr>
          <w:rFonts w:ascii="Arial" w:hAnsi="Arial" w:cs="Arial"/>
          <w:vertAlign w:val="superscript"/>
          <w:lang w:eastAsia="ja-JP"/>
        </w:rPr>
        <w:t>24</w:t>
      </w:r>
      <w:r w:rsidRPr="00517A40">
        <w:rPr>
          <w:rFonts w:ascii="Arial" w:hAnsi="Arial" w:cs="Arial"/>
          <w:lang w:eastAsia="ja-JP"/>
        </w:rPr>
        <w:t xml:space="preserve"> areas, corresponding to a minimal area size of about 30 km</w:t>
      </w:r>
      <w:r w:rsidRPr="00517A40">
        <w:rPr>
          <w:rFonts w:ascii="Arial" w:hAnsi="Arial" w:cs="Arial"/>
          <w:vertAlign w:val="superscript"/>
          <w:lang w:eastAsia="ja-JP"/>
        </w:rPr>
        <w:t>2</w:t>
      </w:r>
      <w:r w:rsidRPr="00517A40">
        <w:rPr>
          <w:rFonts w:ascii="Arial" w:hAnsi="Arial" w:cs="Arial"/>
          <w:lang w:eastAsia="ja-JP"/>
        </w:rPr>
        <w:t>, a square with a side length of approximately 5.5 km. It should be noted that this is well below the size of many terrestrial cells, e.g. in rural areas. If an even finer granularity is required, more bits need to be used for the index. For example, the (terrestrial) NR CGI consists of the PLMN ID plus 36 additional bits. Using these 36 bits for the area index would allow for 2</w:t>
      </w:r>
      <w:r w:rsidRPr="00705FC3">
        <w:rPr>
          <w:rFonts w:ascii="Arial" w:hAnsi="Arial" w:cs="Arial"/>
          <w:vertAlign w:val="superscript"/>
          <w:lang w:eastAsia="ja-JP"/>
        </w:rPr>
        <w:t>36</w:t>
      </w:r>
      <w:r w:rsidRPr="00517A40">
        <w:rPr>
          <w:rFonts w:ascii="Arial" w:hAnsi="Arial" w:cs="Arial"/>
          <w:lang w:eastAsia="ja-JP"/>
        </w:rPr>
        <w:t xml:space="preserve"> areas, corresponding to a granularity of approximately 100 m.</w:t>
      </w:r>
    </w:p>
    <w:p w14:paraId="3CF95B3B" w14:textId="77777777" w:rsidR="00D62BCC" w:rsidRPr="00517A40" w:rsidRDefault="00D62BCC" w:rsidP="00D62BCC">
      <w:pPr>
        <w:jc w:val="both"/>
        <w:rPr>
          <w:rFonts w:ascii="Arial" w:hAnsi="Arial" w:cs="Arial"/>
          <w:lang w:eastAsia="ja-JP"/>
        </w:rPr>
      </w:pPr>
      <w:r w:rsidRPr="00517A40">
        <w:rPr>
          <w:rFonts w:ascii="Arial" w:hAnsi="Arial" w:cs="Arial"/>
          <w:lang w:eastAsia="ja-JP"/>
        </w:rPr>
        <w:t>If the UE should derive the area index itself, the UE and the network need to be in agreement about which index belongs to which geographical area. In principle, the network could broadcast the areas and their respective index. E.g. the network may provide the index map for an area around which the UE is expected to move while connected and UE uses that index base for reporting.</w:t>
      </w:r>
    </w:p>
    <w:p w14:paraId="102F1E6D" w14:textId="77777777" w:rsidR="0068600C" w:rsidRPr="005A29CD" w:rsidRDefault="0068600C" w:rsidP="0068600C">
      <w:pPr>
        <w:pStyle w:val="BodyText"/>
      </w:pPr>
    </w:p>
    <w:p w14:paraId="7AAF0493" w14:textId="46A7F25C" w:rsidR="0068600C" w:rsidRDefault="0068600C" w:rsidP="0068600C">
      <w:pPr>
        <w:pStyle w:val="Proposal"/>
      </w:pPr>
      <w:bookmarkStart w:id="3" w:name="_Toc85711203"/>
      <w:r>
        <w:t>RAN2 to discuss further the format of possible coarse report and whether it could already be implemented</w:t>
      </w:r>
      <w:r w:rsidR="00A213A0">
        <w:t xml:space="preserve"> in 38.331 running CR</w:t>
      </w:r>
      <w:r w:rsidRPr="005A29CD">
        <w:t>.</w:t>
      </w:r>
      <w:bookmarkEnd w:id="3"/>
      <w:r w:rsidRPr="005A29CD">
        <w:t xml:space="preserve"> </w:t>
      </w:r>
    </w:p>
    <w:p w14:paraId="1F4DE824" w14:textId="77777777" w:rsidR="00DF2D0F" w:rsidRPr="005A29CD" w:rsidRDefault="00DF2D0F" w:rsidP="00B67D7D">
      <w:pPr>
        <w:pStyle w:val="BodyText"/>
      </w:pPr>
    </w:p>
    <w:p w14:paraId="1F7F72A9" w14:textId="77777777" w:rsidR="008B12F0" w:rsidRPr="005A29CD" w:rsidRDefault="008B12F0" w:rsidP="00B67D7D">
      <w:pPr>
        <w:pStyle w:val="BodyText"/>
      </w:pPr>
    </w:p>
    <w:p w14:paraId="3F03E782" w14:textId="6CB0EB0D" w:rsidR="00B67D7D" w:rsidRDefault="00B67D7D" w:rsidP="00B67D7D">
      <w:pPr>
        <w:pStyle w:val="Heading1"/>
        <w:rPr>
          <w:kern w:val="20"/>
        </w:rPr>
      </w:pPr>
      <w:r>
        <w:rPr>
          <w:kern w:val="20"/>
        </w:rPr>
        <w:t>SMTC and measurement gaps</w:t>
      </w:r>
    </w:p>
    <w:p w14:paraId="58FA4462" w14:textId="77777777" w:rsidR="00D65821" w:rsidRPr="00017D82" w:rsidRDefault="00D65821" w:rsidP="00D65821">
      <w:pPr>
        <w:spacing w:before="240"/>
        <w:jc w:val="both"/>
        <w:rPr>
          <w:rFonts w:ascii="Arial" w:eastAsia="Malgun Gothic" w:hAnsi="Arial" w:cs="Arial"/>
        </w:rPr>
      </w:pPr>
      <w:r>
        <w:rPr>
          <w:rFonts w:ascii="Arial" w:eastAsia="Malgun Gothic" w:hAnsi="Arial" w:cs="Arial"/>
        </w:rPr>
        <w:t>The</w:t>
      </w:r>
      <w:r w:rsidRPr="00017D82">
        <w:rPr>
          <w:rFonts w:ascii="Arial" w:eastAsia="Malgun Gothic" w:hAnsi="Arial" w:cs="Arial"/>
        </w:rPr>
        <w:t xml:space="preserve"> agreements</w:t>
      </w:r>
      <w:r>
        <w:rPr>
          <w:rFonts w:ascii="Arial" w:eastAsia="Malgun Gothic" w:hAnsi="Arial" w:cs="Arial"/>
        </w:rPr>
        <w:t xml:space="preserve"> from the </w:t>
      </w:r>
      <w:r w:rsidRPr="00017D82">
        <w:rPr>
          <w:rFonts w:ascii="Arial" w:eastAsia="Malgun Gothic" w:hAnsi="Arial" w:cs="Arial"/>
        </w:rPr>
        <w:t>RAN2#113bis</w:t>
      </w:r>
      <w:r>
        <w:rPr>
          <w:rFonts w:ascii="Arial" w:eastAsia="Malgun Gothic" w:hAnsi="Arial" w:cs="Arial"/>
        </w:rPr>
        <w:t xml:space="preserve"> meeting related to SMTC and measurement gap configuration</w:t>
      </w:r>
      <w:r w:rsidRPr="00017D82">
        <w:rPr>
          <w:rFonts w:ascii="Arial" w:eastAsia="Malgun Gothic" w:hAnsi="Arial" w:cs="Arial"/>
        </w:rPr>
        <w:t xml:space="preserve"> for connected mode</w:t>
      </w:r>
      <w:r>
        <w:rPr>
          <w:rFonts w:ascii="Arial" w:eastAsia="Malgun Gothic" w:hAnsi="Arial" w:cs="Arial"/>
        </w:rPr>
        <w:t xml:space="preserve"> in NTN</w:t>
      </w:r>
      <w:r w:rsidRPr="00017D82">
        <w:rPr>
          <w:rFonts w:ascii="Arial" w:eastAsia="Malgun Gothic" w:hAnsi="Arial" w:cs="Arial"/>
        </w:rPr>
        <w:t xml:space="preserve"> are as follows</w:t>
      </w:r>
      <w:r>
        <w:rPr>
          <w:rFonts w:ascii="Arial" w:eastAsia="Malgun Gothic" w:hAnsi="Arial" w:cs="Arial"/>
        </w:rPr>
        <w:t>.</w:t>
      </w:r>
    </w:p>
    <w:p w14:paraId="5C9DC043" w14:textId="073D0DC7" w:rsidR="00D65821" w:rsidRPr="00612A3D" w:rsidRDefault="00825BF7" w:rsidP="00D65821">
      <w:pPr>
        <w:pStyle w:val="Comments"/>
      </w:pPr>
      <w:r>
        <w:t xml:space="preserve"> </w:t>
      </w:r>
    </w:p>
    <w:p w14:paraId="2AE5B69D" w14:textId="77777777" w:rsidR="00D65821" w:rsidRPr="00272736" w:rsidRDefault="00D65821" w:rsidP="00D65821">
      <w:pPr>
        <w:pStyle w:val="Doc-text2"/>
        <w:pBdr>
          <w:top w:val="single" w:sz="4" w:space="1" w:color="auto"/>
          <w:left w:val="single" w:sz="4" w:space="4" w:color="auto"/>
          <w:bottom w:val="single" w:sz="4" w:space="1" w:color="auto"/>
          <w:right w:val="single" w:sz="4" w:space="4" w:color="auto"/>
        </w:pBdr>
        <w:ind w:left="1259" w:firstLine="0"/>
      </w:pPr>
      <w:r w:rsidRPr="000F1396">
        <w:t>Agreements - via email (from offline [106])</w:t>
      </w:r>
    </w:p>
    <w:p w14:paraId="499B6A91" w14:textId="77777777" w:rsidR="00D65821" w:rsidRPr="00D71E80" w:rsidRDefault="00D65821" w:rsidP="00234B99">
      <w:pPr>
        <w:pStyle w:val="Doc-text2"/>
        <w:numPr>
          <w:ilvl w:val="0"/>
          <w:numId w:val="22"/>
        </w:numPr>
        <w:pBdr>
          <w:top w:val="single" w:sz="4" w:space="1" w:color="auto"/>
          <w:left w:val="single" w:sz="4" w:space="4" w:color="auto"/>
          <w:bottom w:val="single" w:sz="4" w:space="1" w:color="auto"/>
          <w:right w:val="single" w:sz="4" w:space="4" w:color="auto"/>
        </w:pBdr>
      </w:pPr>
      <w:r w:rsidRPr="00D71E80">
        <w:t>For Rel-17 NTN, one or more SMTC configuration(s) associated to one frequency can be configured. FFS solution details.</w:t>
      </w:r>
    </w:p>
    <w:p w14:paraId="6A542C18"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w:t>
      </w:r>
      <w:r w:rsidRPr="00D71E80">
        <w:tab/>
        <w:t>The SMTC configuration can be associated with a set of cells (e.g., per satellite or any other suitable set per gNB determination).</w:t>
      </w:r>
    </w:p>
    <w:p w14:paraId="3A2C7261"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w:t>
      </w:r>
      <w:r w:rsidRPr="00D71E80">
        <w:tab/>
        <w:t>The multiple SMTC configurations are enabled by introducing different new offsets in addition to the legacy SMTC configuration. FFS how the offsets will be managed/signalled.</w:t>
      </w:r>
    </w:p>
    <w:p w14:paraId="562CCF06"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 xml:space="preserve">FFS the following open questions: </w:t>
      </w:r>
    </w:p>
    <w:p w14:paraId="100F0694"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(a) can the UE be configured with multiple SMTCs per carrier and use them all in parallel?</w:t>
      </w:r>
    </w:p>
    <w:p w14:paraId="2B7C16BC"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 xml:space="preserve">(b) How the NW knows which SMTC (incl. offsets/periodicity, etc.) is relevant for a particular UE? </w:t>
      </w:r>
    </w:p>
    <w:p w14:paraId="52810243"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(c) Is there any validity: in time or for certain location only, foreseen in such multiple SMTC configuration?</w:t>
      </w:r>
    </w:p>
    <w:p w14:paraId="3A40A79F"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(d) What is the potential impact on the signalling, assuming this delay is a dynamic value?</w:t>
      </w:r>
    </w:p>
    <w:p w14:paraId="5D6B4C16" w14:textId="77777777" w:rsidR="00D65821" w:rsidRPr="00D71E80" w:rsidRDefault="00D65821" w:rsidP="00D65821">
      <w:pPr>
        <w:pStyle w:val="Doc-text2"/>
        <w:pBdr>
          <w:top w:val="single" w:sz="4" w:space="1" w:color="auto"/>
          <w:left w:val="single" w:sz="4" w:space="4" w:color="auto"/>
          <w:bottom w:val="single" w:sz="4" w:space="1" w:color="auto"/>
          <w:right w:val="single" w:sz="4" w:space="4" w:color="auto"/>
        </w:pBdr>
        <w:ind w:left="1619" w:hanging="360"/>
      </w:pPr>
      <w:r w:rsidRPr="00D71E80">
        <w:tab/>
        <w:t>(e) What about the feeder link delay? Is it considered anywhere?</w:t>
      </w:r>
    </w:p>
    <w:p w14:paraId="7852D336" w14:textId="77777777" w:rsidR="00D65821" w:rsidRPr="00D71E80" w:rsidRDefault="00D65821" w:rsidP="00234B99">
      <w:pPr>
        <w:pStyle w:val="Doc-text2"/>
        <w:numPr>
          <w:ilvl w:val="0"/>
          <w:numId w:val="22"/>
        </w:numPr>
        <w:pBdr>
          <w:top w:val="single" w:sz="4" w:space="1" w:color="auto"/>
          <w:left w:val="single" w:sz="4" w:space="4" w:color="auto"/>
          <w:bottom w:val="single" w:sz="4" w:space="1" w:color="auto"/>
          <w:right w:val="single" w:sz="4" w:space="4" w:color="auto"/>
        </w:pBdr>
      </w:pPr>
      <w:r w:rsidRPr="00D71E80">
        <w:t>The configuration of one or multiple offsets is left up to the network implementation.</w:t>
      </w:r>
    </w:p>
    <w:p w14:paraId="1C7DBC0D" w14:textId="77777777" w:rsidR="00D65821" w:rsidRPr="00D71E80" w:rsidRDefault="00D65821" w:rsidP="00234B99">
      <w:pPr>
        <w:pStyle w:val="Doc-text2"/>
        <w:numPr>
          <w:ilvl w:val="0"/>
          <w:numId w:val="22"/>
        </w:numPr>
        <w:pBdr>
          <w:top w:val="single" w:sz="4" w:space="1" w:color="auto"/>
          <w:left w:val="single" w:sz="4" w:space="4" w:color="auto"/>
          <w:bottom w:val="single" w:sz="4" w:space="1" w:color="auto"/>
          <w:right w:val="single" w:sz="4" w:space="4" w:color="auto"/>
        </w:pBdr>
      </w:pPr>
      <w:r w:rsidRPr="00D71E80">
        <w:t>It is up to network to update the SMTC configuration of the UE to accommodate the different propagation delays.</w:t>
      </w:r>
    </w:p>
    <w:p w14:paraId="1EA3F4E6" w14:textId="77777777" w:rsidR="00D65821" w:rsidRPr="00586EB9" w:rsidRDefault="00D65821" w:rsidP="00D65821">
      <w:pPr>
        <w:pStyle w:val="Doc-text2"/>
      </w:pPr>
    </w:p>
    <w:p w14:paraId="12F6DB8C" w14:textId="77777777" w:rsidR="00D65821" w:rsidRPr="00612A3D" w:rsidRDefault="00D65821" w:rsidP="00D65821">
      <w:pPr>
        <w:pStyle w:val="Doc-text2"/>
      </w:pPr>
    </w:p>
    <w:p w14:paraId="235141FC" w14:textId="77777777" w:rsidR="00D65821" w:rsidRPr="00272736" w:rsidRDefault="00D65821" w:rsidP="00D65821">
      <w:pPr>
        <w:pStyle w:val="Doc-text2"/>
        <w:pBdr>
          <w:top w:val="single" w:sz="4" w:space="1" w:color="auto"/>
          <w:left w:val="single" w:sz="4" w:space="4" w:color="auto"/>
          <w:bottom w:val="single" w:sz="4" w:space="1" w:color="auto"/>
          <w:right w:val="single" w:sz="4" w:space="4" w:color="auto"/>
        </w:pBdr>
      </w:pPr>
      <w:r w:rsidRPr="000F1396">
        <w:t>Agreements online:</w:t>
      </w:r>
    </w:p>
    <w:p w14:paraId="7F5D15E4" w14:textId="77777777" w:rsidR="00D65821" w:rsidRPr="00D71E80" w:rsidRDefault="00D65821" w:rsidP="00234B99">
      <w:pPr>
        <w:pStyle w:val="Doc-text2"/>
        <w:numPr>
          <w:ilvl w:val="0"/>
          <w:numId w:val="23"/>
        </w:numPr>
        <w:pBdr>
          <w:top w:val="single" w:sz="4" w:space="1" w:color="auto"/>
          <w:left w:val="single" w:sz="4" w:space="4" w:color="auto"/>
          <w:bottom w:val="single" w:sz="4" w:space="1" w:color="auto"/>
          <w:right w:val="single" w:sz="4" w:space="4" w:color="auto"/>
        </w:pBdr>
      </w:pPr>
      <w:r w:rsidRPr="00D71E80">
        <w:t>Measurement gaps enhancements should be supported. FFS on the details</w:t>
      </w:r>
    </w:p>
    <w:p w14:paraId="1EAFA20C" w14:textId="2A8827D1" w:rsidR="00014CA8" w:rsidRDefault="00AB57A8" w:rsidP="00CA02E6">
      <w:pPr>
        <w:spacing w:before="240"/>
        <w:jc w:val="both"/>
      </w:pPr>
      <w:r>
        <w:rPr>
          <w:rFonts w:ascii="Arial" w:eastAsia="Malgun Gothic" w:hAnsi="Arial" w:cs="Arial"/>
        </w:rPr>
        <w:t>The current running RRC CR imp</w:t>
      </w:r>
      <w:r w:rsidR="005A036E">
        <w:rPr>
          <w:rFonts w:ascii="Arial" w:eastAsia="Malgun Gothic" w:hAnsi="Arial" w:cs="Arial"/>
        </w:rPr>
        <w:t xml:space="preserve">lements new SMTC list </w:t>
      </w:r>
      <w:r w:rsidR="007D0EB8">
        <w:rPr>
          <w:rFonts w:ascii="Arial" w:eastAsia="Malgun Gothic" w:hAnsi="Arial" w:cs="Arial"/>
        </w:rPr>
        <w:t xml:space="preserve">where each element contains a list of PCIs that particular SMTC applies to and </w:t>
      </w:r>
      <w:r w:rsidR="009055E4">
        <w:rPr>
          <w:rFonts w:ascii="Arial" w:eastAsia="Malgun Gothic" w:hAnsi="Arial" w:cs="Arial"/>
        </w:rPr>
        <w:t xml:space="preserve">an </w:t>
      </w:r>
      <w:r w:rsidR="007D0EB8">
        <w:rPr>
          <w:rFonts w:ascii="Arial" w:eastAsia="Malgun Gothic" w:hAnsi="Arial" w:cs="Arial"/>
        </w:rPr>
        <w:t>offset</w:t>
      </w:r>
      <w:r w:rsidR="009055E4">
        <w:rPr>
          <w:rFonts w:ascii="Arial" w:eastAsia="Malgun Gothic" w:hAnsi="Arial" w:cs="Arial"/>
        </w:rPr>
        <w:t xml:space="preserve">. </w:t>
      </w:r>
      <w:r w:rsidR="00A70289">
        <w:rPr>
          <w:rFonts w:ascii="Arial" w:eastAsia="Malgun Gothic" w:hAnsi="Arial" w:cs="Arial"/>
        </w:rPr>
        <w:t>Other SMTC parameters like window length and periodic</w:t>
      </w:r>
      <w:r w:rsidR="006573A5">
        <w:rPr>
          <w:rFonts w:ascii="Arial" w:eastAsia="Malgun Gothic" w:hAnsi="Arial" w:cs="Arial"/>
        </w:rPr>
        <w:t>i</w:t>
      </w:r>
      <w:r w:rsidR="00A70289">
        <w:rPr>
          <w:rFonts w:ascii="Arial" w:eastAsia="Malgun Gothic" w:hAnsi="Arial" w:cs="Arial"/>
        </w:rPr>
        <w:t xml:space="preserve">ty are that of </w:t>
      </w:r>
      <w:r w:rsidR="00A70289" w:rsidRPr="006573A5">
        <w:rPr>
          <w:rFonts w:ascii="Arial" w:eastAsia="Malgun Gothic" w:hAnsi="Arial" w:cs="Arial"/>
          <w:i/>
          <w:iCs/>
        </w:rPr>
        <w:t>smtc1</w:t>
      </w:r>
      <w:r w:rsidR="006573A5">
        <w:rPr>
          <w:rFonts w:ascii="Arial" w:eastAsia="Malgun Gothic" w:hAnsi="Arial" w:cs="Arial"/>
        </w:rPr>
        <w:t>.</w:t>
      </w:r>
      <w:r w:rsidR="005A036E">
        <w:rPr>
          <w:rFonts w:ascii="Arial" w:eastAsia="Malgun Gothic" w:hAnsi="Arial" w:cs="Arial"/>
        </w:rPr>
        <w:t xml:space="preserve"> </w:t>
      </w:r>
    </w:p>
    <w:p w14:paraId="64A5EB13" w14:textId="77777777" w:rsidR="0078780A" w:rsidRDefault="0078780A" w:rsidP="00F56078">
      <w:pPr>
        <w:pStyle w:val="BodyText"/>
      </w:pPr>
    </w:p>
    <w:p w14:paraId="0937E72F" w14:textId="64F6A1B1" w:rsidR="00F56078" w:rsidRDefault="00F56078" w:rsidP="00F56078">
      <w:pPr>
        <w:pStyle w:val="BodyText"/>
      </w:pPr>
      <w:r>
        <w:t xml:space="preserve">Regarding </w:t>
      </w:r>
      <w:r w:rsidR="00FC52B9">
        <w:t>the operation of SMTC</w:t>
      </w:r>
      <w:r>
        <w:t xml:space="preserve"> we first note that the SMTC offset is configured with a granularity of 1 ms. We also note that with LEO satellite speeds, such a granularity implies that the required update periodicity may be in the minute range</w:t>
      </w:r>
      <w:r w:rsidR="009E4860">
        <w:t xml:space="preserve"> (which</w:t>
      </w:r>
      <w:r w:rsidR="00690107">
        <w:t xml:space="preserve"> </w:t>
      </w:r>
      <w:r w:rsidR="009E4860">
        <w:t xml:space="preserve">may be </w:t>
      </w:r>
      <w:r w:rsidR="00FE4081">
        <w:t>extended by allowing more margin in the SMTC window duration, as mentioned above</w:t>
      </w:r>
      <w:r w:rsidR="00690107">
        <w:t>, at the expense of longer UE unreachability times when the UE monitors the SMTC window</w:t>
      </w:r>
      <w:r w:rsidR="00FE4081">
        <w:t>)</w:t>
      </w:r>
      <w:r>
        <w:t xml:space="preserve">. A third note is that with the potentially large number of connected UEs that a large NTN cell may serve, the compound signaling for reconfiguration of SMTCs and measurement gaps may be undesirably extensive and may consume a significant fraction of the available control plane resources. </w:t>
      </w:r>
    </w:p>
    <w:p w14:paraId="40ACB8D6" w14:textId="77777777" w:rsidR="00F56078" w:rsidRPr="00017D82" w:rsidRDefault="00F56078" w:rsidP="00F56078">
      <w:pPr>
        <w:pStyle w:val="Observation"/>
        <w:overflowPunct w:val="0"/>
        <w:autoSpaceDE w:val="0"/>
        <w:autoSpaceDN w:val="0"/>
        <w:adjustRightInd w:val="0"/>
        <w:textAlignment w:val="baseline"/>
      </w:pPr>
      <w:bookmarkStart w:id="4" w:name="_Toc76226605"/>
      <w:bookmarkStart w:id="5" w:name="_Toc85711200"/>
      <w:r>
        <w:t>Due to high satellite speeds and consequently fast changing propagation delays, the compound signaling for reconfiguration of SMTCs and measurement gaps for UEs connected in a cell may be undesirably extensive and may consume a significant fraction of the available control plane resources</w:t>
      </w:r>
      <w:r w:rsidRPr="00017D82">
        <w:t>.</w:t>
      </w:r>
      <w:bookmarkEnd w:id="4"/>
      <w:bookmarkEnd w:id="5"/>
      <w:r w:rsidRPr="00017D82">
        <w:t xml:space="preserve"> </w:t>
      </w:r>
    </w:p>
    <w:p w14:paraId="61F7D23D" w14:textId="77777777" w:rsidR="00C271AF" w:rsidRDefault="00C271AF" w:rsidP="00F56078">
      <w:pPr>
        <w:pStyle w:val="BodyText"/>
      </w:pPr>
    </w:p>
    <w:p w14:paraId="4644CF32" w14:textId="0247CB99" w:rsidR="00C271AF" w:rsidRDefault="00C271AF" w:rsidP="00F56078">
      <w:pPr>
        <w:pStyle w:val="BodyText"/>
      </w:pPr>
      <w:r>
        <w:t>I</w:t>
      </w:r>
      <w:r w:rsidR="00C401F2">
        <w:t>n</w:t>
      </w:r>
      <w:r>
        <w:t xml:space="preserve"> RAN2</w:t>
      </w:r>
      <w:r w:rsidR="00C401F2">
        <w:t>#115 these aspects were discussed and the following was conlcuded:</w:t>
      </w:r>
    </w:p>
    <w:p w14:paraId="175A6D2C" w14:textId="031AFA7F" w:rsidR="00C401F2" w:rsidRDefault="00C401F2" w:rsidP="00F56078">
      <w:pPr>
        <w:pStyle w:val="BodyText"/>
      </w:pPr>
    </w:p>
    <w:p w14:paraId="0AF71FAE" w14:textId="77777777" w:rsidR="00C401F2" w:rsidRDefault="00C401F2" w:rsidP="00C401F2">
      <w:pPr>
        <w:pStyle w:val="BodyText"/>
      </w:pPr>
    </w:p>
    <w:p w14:paraId="458710F4" w14:textId="77777777" w:rsidR="00C401F2" w:rsidRDefault="00C401F2" w:rsidP="00C401F2">
      <w:pPr>
        <w:pStyle w:val="Comments"/>
      </w:pPr>
    </w:p>
    <w:p w14:paraId="69A24A10" w14:textId="77777777" w:rsidR="00C401F2" w:rsidRDefault="00C401F2" w:rsidP="00C401F2">
      <w:pPr>
        <w:pStyle w:val="Doc-text2"/>
        <w:pBdr>
          <w:top w:val="single" w:sz="4" w:space="1" w:color="auto"/>
          <w:left w:val="single" w:sz="4" w:space="4" w:color="auto"/>
          <w:bottom w:val="single" w:sz="4" w:space="1" w:color="auto"/>
          <w:right w:val="single" w:sz="4" w:space="4" w:color="auto"/>
        </w:pBdr>
      </w:pPr>
      <w:r>
        <w:t>Agreements via email - from offline 112:</w:t>
      </w:r>
    </w:p>
    <w:p w14:paraId="12003775" w14:textId="77777777" w:rsidR="00C401F2" w:rsidRDefault="00C401F2" w:rsidP="00C401F2">
      <w:pPr>
        <w:pStyle w:val="Doc-text2"/>
        <w:numPr>
          <w:ilvl w:val="0"/>
          <w:numId w:val="36"/>
        </w:numPr>
        <w:pBdr>
          <w:top w:val="single" w:sz="4" w:space="1" w:color="auto"/>
          <w:left w:val="single" w:sz="4" w:space="4" w:color="auto"/>
          <w:bottom w:val="single" w:sz="4" w:space="1" w:color="auto"/>
          <w:right w:val="single" w:sz="4" w:space="4" w:color="auto"/>
        </w:pBdr>
      </w:pPr>
      <w:r>
        <w:t>The specific maximum number of SMTC configuration in one measurement object with the same ssbFrequency can be 4. And a LS will be sent to RAN4 to confirm the conclusion.</w:t>
      </w:r>
    </w:p>
    <w:p w14:paraId="2D5C4FB5" w14:textId="77777777" w:rsidR="00C401F2" w:rsidRDefault="00C401F2" w:rsidP="00C401F2">
      <w:pPr>
        <w:pStyle w:val="Doc-text2"/>
        <w:numPr>
          <w:ilvl w:val="0"/>
          <w:numId w:val="36"/>
        </w:numPr>
        <w:pBdr>
          <w:top w:val="single" w:sz="4" w:space="1" w:color="auto"/>
          <w:left w:val="single" w:sz="4" w:space="4" w:color="auto"/>
          <w:bottom w:val="single" w:sz="4" w:space="1" w:color="auto"/>
          <w:right w:val="single" w:sz="4" w:space="4" w:color="auto"/>
        </w:pBdr>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496AA22D" w14:textId="77777777" w:rsidR="00C401F2" w:rsidRDefault="00C401F2" w:rsidP="00C401F2">
      <w:pPr>
        <w:pStyle w:val="Doc-text2"/>
        <w:numPr>
          <w:ilvl w:val="0"/>
          <w:numId w:val="36"/>
        </w:numPr>
        <w:pBdr>
          <w:top w:val="single" w:sz="4" w:space="1" w:color="auto"/>
          <w:left w:val="single" w:sz="4" w:space="4" w:color="auto"/>
          <w:bottom w:val="single" w:sz="4" w:space="1" w:color="auto"/>
          <w:right w:val="single" w:sz="4" w:space="4" w:color="auto"/>
        </w:pBdr>
      </w:pPr>
      <w:r>
        <w:t>In NTN, it is necessary of the UE to report assistant information to the NW (which can be configured by NW or upon NW’s request) to assist NW calculating the offset for SMTC/GAP configurations. FFS the detailed information.</w:t>
      </w:r>
    </w:p>
    <w:p w14:paraId="1ADC86DF" w14:textId="77777777" w:rsidR="00C401F2" w:rsidRPr="00517A40" w:rsidRDefault="00C401F2" w:rsidP="00C401F2">
      <w:pPr>
        <w:pStyle w:val="Comments"/>
      </w:pPr>
    </w:p>
    <w:p w14:paraId="192EC96B" w14:textId="77777777" w:rsidR="00C401F2" w:rsidRDefault="00C401F2" w:rsidP="00C401F2">
      <w:pPr>
        <w:pStyle w:val="Doc-text2"/>
        <w:pBdr>
          <w:top w:val="single" w:sz="4" w:space="1" w:color="auto"/>
          <w:left w:val="single" w:sz="4" w:space="4" w:color="auto"/>
          <w:bottom w:val="single" w:sz="4" w:space="1" w:color="auto"/>
          <w:right w:val="single" w:sz="4" w:space="4" w:color="auto"/>
        </w:pBdr>
      </w:pPr>
      <w:r>
        <w:t>Agreements:</w:t>
      </w:r>
    </w:p>
    <w:p w14:paraId="32F1CE63" w14:textId="77777777" w:rsidR="00C401F2" w:rsidRDefault="00C401F2" w:rsidP="00C401F2">
      <w:pPr>
        <w:pStyle w:val="Doc-text2"/>
        <w:numPr>
          <w:ilvl w:val="0"/>
          <w:numId w:val="37"/>
        </w:numPr>
        <w:pBdr>
          <w:top w:val="single" w:sz="4" w:space="1" w:color="auto"/>
          <w:left w:val="single" w:sz="4" w:space="4" w:color="auto"/>
          <w:bottom w:val="single" w:sz="4" w:space="1" w:color="auto"/>
          <w:right w:val="single" w:sz="4" w:space="4" w:color="auto"/>
        </w:pBdr>
      </w:pPr>
      <w:r>
        <w:t>The UE can be configured with multiple SMTCs per carrier. FFS if the UE can use only a partial set or all of them in parallel, and in case FFS whether based on network configuration or UE implementation</w:t>
      </w:r>
    </w:p>
    <w:p w14:paraId="3D088585" w14:textId="77777777" w:rsidR="00C401F2" w:rsidRDefault="00C401F2" w:rsidP="00F56078">
      <w:pPr>
        <w:pStyle w:val="BodyText"/>
      </w:pPr>
    </w:p>
    <w:p w14:paraId="6203E3E5" w14:textId="77777777" w:rsidR="00C271AF" w:rsidRDefault="00C271AF" w:rsidP="00F56078">
      <w:pPr>
        <w:pStyle w:val="BodyText"/>
      </w:pPr>
    </w:p>
    <w:p w14:paraId="2CBB18A1" w14:textId="77777777" w:rsidR="00C271AF" w:rsidRDefault="00C271AF" w:rsidP="00F56078">
      <w:pPr>
        <w:pStyle w:val="BodyText"/>
      </w:pPr>
    </w:p>
    <w:p w14:paraId="3D3BBD83" w14:textId="4A4AA57A" w:rsidR="00F56078" w:rsidRDefault="00F56078" w:rsidP="00F56078">
      <w:pPr>
        <w:pStyle w:val="BodyText"/>
      </w:pPr>
      <w:r>
        <w:t>Our view is that such potentially excessively frequent SMTC and measurement gap reconfigurations should be avoided by leveraging the predictable nature of satellite movements and the resulting propagation delays. This is not achieved if fixed SMTC and measurement gap configurations are provided, which can only be updated by explicit signaling from the network. Instead, the SMTC and measurement gap configurations should anticipate the predictable changes and make the configurations as such dynamic, adapting to the predictable changes in manner that is predictable and synchronized between the UE and the network. There are various ways to do this, e.g. providing a set of SMTC/measurement gap configurations (for the same group of cells), where each configuration associated with a time when it becomes valid (and replaces the previously valid configuration).</w:t>
      </w:r>
      <w:r w:rsidR="00F34CC3">
        <w:t xml:space="preserve"> Another way is to provide one SMTC configuration</w:t>
      </w:r>
      <w:r w:rsidR="00C87287">
        <w:t xml:space="preserve"> with a set of offsets to be applied sequentially </w:t>
      </w:r>
      <w:r w:rsidR="00AB6051">
        <w:t>with a certain periodicity or at certain indicated times.</w:t>
      </w:r>
      <w:r>
        <w:t xml:space="preserve"> If these time indications use the timing of the PCell as reference, the UE and the serving gNB will automatically be synchronized with regards to which configuration is valid at any point in time. Since only the offset parameter will differ between the configurations in a set, and the intervals during which different offsets are valid can be at least approximately constant (i.e. periodic change of the offset) during a reasonable time period, this signaling can be made compact.</w:t>
      </w:r>
    </w:p>
    <w:p w14:paraId="37E22747" w14:textId="77777777" w:rsidR="00F56078" w:rsidRPr="000F0D03" w:rsidRDefault="00F56078" w:rsidP="00F56078">
      <w:pPr>
        <w:pStyle w:val="Observation"/>
        <w:overflowPunct w:val="0"/>
        <w:autoSpaceDE w:val="0"/>
        <w:autoSpaceDN w:val="0"/>
        <w:adjustRightInd w:val="0"/>
        <w:textAlignment w:val="baseline"/>
      </w:pPr>
      <w:bookmarkStart w:id="6" w:name="_Toc76226606"/>
      <w:bookmarkStart w:id="7" w:name="_Toc85711201"/>
      <w:r>
        <w:t>By configuring SMTC and measurement gaps in ways that take the predictable required updates into account, dynamic SMTC and measurement gap configurations can be achieved with a validity time an order of magnitude greater than simple (legacy-style) fixed configurations, thereby reducing the required SMTC and measurement gap reconfiguration signaling to a small fraction</w:t>
      </w:r>
      <w:r w:rsidRPr="00017D82">
        <w:t>.</w:t>
      </w:r>
      <w:bookmarkEnd w:id="6"/>
      <w:bookmarkEnd w:id="7"/>
    </w:p>
    <w:p w14:paraId="7A099CB7" w14:textId="77777777" w:rsidR="00F56078" w:rsidRPr="00017D82" w:rsidRDefault="00F56078" w:rsidP="00F56078">
      <w:pPr>
        <w:pStyle w:val="Proposal"/>
        <w:overflowPunct w:val="0"/>
        <w:autoSpaceDE w:val="0"/>
        <w:autoSpaceDN w:val="0"/>
        <w:adjustRightInd w:val="0"/>
        <w:textAlignment w:val="baseline"/>
      </w:pPr>
      <w:bookmarkStart w:id="8" w:name="_Toc76226654"/>
      <w:bookmarkStart w:id="9" w:name="_Toc85711204"/>
      <w:r>
        <w:t>Introduce dynamic SMTC and measurement gap configurations that leverage the predictable nature of satellite movements and the resulting propagation delays, in order to minimize the required reconfiguration signaling for adaptation to changing propagation delays</w:t>
      </w:r>
      <w:r w:rsidRPr="00017D82">
        <w:t>.</w:t>
      </w:r>
      <w:bookmarkEnd w:id="8"/>
      <w:bookmarkEnd w:id="9"/>
    </w:p>
    <w:p w14:paraId="419064A9" w14:textId="1B8D1EE0" w:rsidR="00DA1C4A" w:rsidRDefault="00DA1C4A" w:rsidP="00F56078">
      <w:pPr>
        <w:pStyle w:val="BodyText"/>
        <w:rPr>
          <w:rFonts w:eastAsia="Malgun Gothic" w:cs="Arial"/>
        </w:rPr>
      </w:pPr>
      <w:r>
        <w:t xml:space="preserve">NTN cells may be much larger than TN cells and the UE’s location within a cell </w:t>
      </w:r>
      <w:r w:rsidR="001B1190">
        <w:t xml:space="preserve">will impact </w:t>
      </w:r>
      <w:r w:rsidR="009D08F5">
        <w:t xml:space="preserve">the suitable offset(s) to be included in the SMTC and measurement gap configurations. To aid the </w:t>
      </w:r>
      <w:r w:rsidR="002F1492">
        <w:t xml:space="preserve">gNB in this configuration, </w:t>
      </w:r>
      <w:r w:rsidR="004D36C8">
        <w:t xml:space="preserve">assistance information </w:t>
      </w:r>
      <w:r w:rsidR="00E431CC">
        <w:t>can</w:t>
      </w:r>
      <w:r w:rsidR="004D36C8">
        <w:t xml:space="preserve"> be provided </w:t>
      </w:r>
      <w:r w:rsidR="002113F1">
        <w:t xml:space="preserve">from the UE to the gNB, as reflected in one of the above listed agreements from the </w:t>
      </w:r>
      <w:r w:rsidR="002113F1" w:rsidRPr="00017D82">
        <w:rPr>
          <w:rFonts w:eastAsia="Malgun Gothic" w:cs="Arial"/>
        </w:rPr>
        <w:t>RAN2#113bis</w:t>
      </w:r>
      <w:r w:rsidR="002113F1">
        <w:rPr>
          <w:rFonts w:eastAsia="Malgun Gothic" w:cs="Arial"/>
        </w:rPr>
        <w:t xml:space="preserve"> meeting.</w:t>
      </w:r>
      <w:r w:rsidR="003109BA">
        <w:rPr>
          <w:rFonts w:eastAsia="Malgun Gothic" w:cs="Arial"/>
        </w:rPr>
        <w:t xml:space="preserve"> The only assistance information that efficiently </w:t>
      </w:r>
      <w:r w:rsidR="00F6047A">
        <w:rPr>
          <w:rFonts w:eastAsia="Malgun Gothic" w:cs="Arial"/>
        </w:rPr>
        <w:t xml:space="preserve">– without complex and inefficient workarounds </w:t>
      </w:r>
      <w:r w:rsidR="0044584A">
        <w:rPr>
          <w:rFonts w:eastAsia="Malgun Gothic" w:cs="Arial"/>
        </w:rPr>
        <w:t>–</w:t>
      </w:r>
      <w:r w:rsidR="00F6047A">
        <w:rPr>
          <w:rFonts w:eastAsia="Malgun Gothic" w:cs="Arial"/>
        </w:rPr>
        <w:t xml:space="preserve"> </w:t>
      </w:r>
      <w:r w:rsidR="00090341">
        <w:rPr>
          <w:rFonts w:eastAsia="Malgun Gothic" w:cs="Arial"/>
        </w:rPr>
        <w:t>enables</w:t>
      </w:r>
      <w:r w:rsidR="003109BA">
        <w:rPr>
          <w:rFonts w:eastAsia="Malgun Gothic" w:cs="Arial"/>
        </w:rPr>
        <w:t xml:space="preserve"> </w:t>
      </w:r>
      <w:r w:rsidR="002559BF">
        <w:rPr>
          <w:rFonts w:eastAsia="Malgun Gothic" w:cs="Arial"/>
        </w:rPr>
        <w:t xml:space="preserve">the gNB </w:t>
      </w:r>
      <w:r w:rsidR="00024BF0">
        <w:rPr>
          <w:rFonts w:eastAsia="Malgun Gothic" w:cs="Arial"/>
        </w:rPr>
        <w:t xml:space="preserve">to accurately tailor </w:t>
      </w:r>
      <w:r w:rsidR="00D01072">
        <w:rPr>
          <w:rFonts w:eastAsia="Malgun Gothic" w:cs="Arial"/>
        </w:rPr>
        <w:t>the SMTC and measurement gap configurations for a UE is the</w:t>
      </w:r>
      <w:r w:rsidR="008642E8">
        <w:rPr>
          <w:rFonts w:eastAsia="Malgun Gothic" w:cs="Arial"/>
        </w:rPr>
        <w:t xml:space="preserve"> UE’s</w:t>
      </w:r>
      <w:r w:rsidR="00D01072">
        <w:rPr>
          <w:rFonts w:eastAsia="Malgun Gothic" w:cs="Arial"/>
        </w:rPr>
        <w:t xml:space="preserve"> location</w:t>
      </w:r>
      <w:r w:rsidR="00A463B0">
        <w:rPr>
          <w:rFonts w:eastAsia="Malgun Gothic" w:cs="Arial"/>
        </w:rPr>
        <w:t>. Note, however, that</w:t>
      </w:r>
      <w:r w:rsidR="0059678A">
        <w:rPr>
          <w:rFonts w:eastAsia="Malgun Gothic" w:cs="Arial"/>
        </w:rPr>
        <w:t xml:space="preserve"> the configuration granularity of </w:t>
      </w:r>
      <w:r w:rsidR="00B06D9E">
        <w:rPr>
          <w:rFonts w:eastAsia="Malgun Gothic" w:cs="Arial"/>
        </w:rPr>
        <w:t>SMTC and measurement gaps</w:t>
      </w:r>
      <w:r w:rsidR="00A463B0">
        <w:rPr>
          <w:rFonts w:eastAsia="Malgun Gothic" w:cs="Arial"/>
        </w:rPr>
        <w:t xml:space="preserve"> </w:t>
      </w:r>
      <w:r w:rsidR="000D6ABB">
        <w:rPr>
          <w:rFonts w:eastAsia="Malgun Gothic" w:cs="Arial"/>
        </w:rPr>
        <w:t xml:space="preserve">is on a millisecond level, which translates to </w:t>
      </w:r>
      <w:r w:rsidR="00BD4DDD">
        <w:rPr>
          <w:rFonts w:eastAsia="Malgun Gothic" w:cs="Arial"/>
        </w:rPr>
        <w:t xml:space="preserve">300 km </w:t>
      </w:r>
      <w:r w:rsidR="00C30BE0">
        <w:rPr>
          <w:rFonts w:eastAsia="Malgun Gothic" w:cs="Arial"/>
        </w:rPr>
        <w:t>distance granularity. Hence</w:t>
      </w:r>
      <w:r w:rsidR="00AC55DC">
        <w:rPr>
          <w:rFonts w:eastAsia="Malgun Gothic" w:cs="Arial"/>
        </w:rPr>
        <w:t>, in the context of SMTC and measurement gap configuration</w:t>
      </w:r>
      <w:r w:rsidR="0016199A">
        <w:rPr>
          <w:rFonts w:eastAsia="Malgun Gothic" w:cs="Arial"/>
        </w:rPr>
        <w:t>, the reported</w:t>
      </w:r>
      <w:r w:rsidR="001C4C1A">
        <w:rPr>
          <w:rFonts w:eastAsia="Malgun Gothic" w:cs="Arial"/>
        </w:rPr>
        <w:t xml:space="preserve"> UE location does not have to be very accurate</w:t>
      </w:r>
      <w:r w:rsidR="00594EE3">
        <w:rPr>
          <w:rFonts w:eastAsia="Malgun Gothic" w:cs="Arial"/>
        </w:rPr>
        <w:t xml:space="preserve">, which </w:t>
      </w:r>
      <w:r w:rsidR="005C26AB">
        <w:rPr>
          <w:rFonts w:eastAsia="Malgun Gothic" w:cs="Arial"/>
        </w:rPr>
        <w:t>should mitigate any privacy concerns.</w:t>
      </w:r>
    </w:p>
    <w:p w14:paraId="1DB86786" w14:textId="1B446B29" w:rsidR="002F523B" w:rsidRPr="009E6DB6" w:rsidRDefault="00CA27A1" w:rsidP="00705FC3">
      <w:pPr>
        <w:pStyle w:val="Proposal"/>
        <w:overflowPunct w:val="0"/>
        <w:autoSpaceDE w:val="0"/>
        <w:autoSpaceDN w:val="0"/>
        <w:adjustRightInd w:val="0"/>
        <w:textAlignment w:val="baseline"/>
      </w:pPr>
      <w:bookmarkStart w:id="10" w:name="_Toc85711205"/>
      <w:r>
        <w:t xml:space="preserve">Introduce </w:t>
      </w:r>
      <w:r w:rsidR="000A6EBF">
        <w:t xml:space="preserve">the UE’s location as assistance information sent from the UE to the </w:t>
      </w:r>
      <w:r w:rsidR="00523D0C">
        <w:t xml:space="preserve">gNB to </w:t>
      </w:r>
      <w:r w:rsidR="00F8114A">
        <w:t xml:space="preserve">facilitate accurately tailored SMTC and measurement gap configurations. </w:t>
      </w:r>
      <w:r w:rsidR="00135D14">
        <w:t>The reported UE location can be coarse</w:t>
      </w:r>
      <w:r w:rsidR="003368B9">
        <w:t xml:space="preserve">, adapted to what is needed for millisecond granularity in the </w:t>
      </w:r>
      <w:r w:rsidR="00103498">
        <w:t>configurations</w:t>
      </w:r>
      <w:r w:rsidRPr="00017D82">
        <w:t>.</w:t>
      </w:r>
      <w:bookmarkEnd w:id="10"/>
    </w:p>
    <w:p w14:paraId="5DCE1516" w14:textId="780060D9" w:rsidR="00F56078" w:rsidRDefault="00F56078" w:rsidP="00F56078">
      <w:pPr>
        <w:pStyle w:val="BodyText"/>
      </w:pPr>
      <w:r>
        <w:t xml:space="preserve">For moderate UE speeds, the impacts of the UE’s movements may be ignored during a reasonable time period (e.g. a time period for which dynamic SMTC/measurement gap configurations with proactive updates may be valid), since the satellite’s speed will be much greater. However, if the UE moves long enough to significantly impact the propagation delays to the satellites, e.g. causing propagation delay changes that are significant in relation to the SMTC/measurement gap configuration granularity (such as a propagation delay change in the range 0.5 -1 ms), the serving gNB needs to be informed of the UE’s new location, so that it can adapt the dynamic SMTC and measurement gap configurations accordingly. This could be ensured through configuration of event-triggered UE location reporting, based on the distance moved from the UE location the SMTC and measurement gap configurations were based on. </w:t>
      </w:r>
    </w:p>
    <w:p w14:paraId="460BC987" w14:textId="77777777" w:rsidR="00F56078" w:rsidRPr="000F0D03" w:rsidRDefault="00F56078" w:rsidP="00F56078">
      <w:pPr>
        <w:pStyle w:val="Observation"/>
        <w:overflowPunct w:val="0"/>
        <w:autoSpaceDE w:val="0"/>
        <w:autoSpaceDN w:val="0"/>
        <w:adjustRightInd w:val="0"/>
        <w:textAlignment w:val="baseline"/>
      </w:pPr>
      <w:bookmarkStart w:id="11" w:name="_Toc76226607"/>
      <w:bookmarkStart w:id="12" w:name="_Toc85711202"/>
      <w:r>
        <w:t>If a UE moves a distance long enough to significantly impact the propagation delay in relation to the SMTC/measurement gap offset configuration granularity (or in relation to the margins configured for the SMTC window and measurement gap durations), the network has to be informed so that it can adapt the SMTC and measurement gap configurations accordingly</w:t>
      </w:r>
      <w:r w:rsidRPr="00017D82">
        <w:t>.</w:t>
      </w:r>
      <w:bookmarkEnd w:id="11"/>
      <w:bookmarkEnd w:id="12"/>
    </w:p>
    <w:p w14:paraId="4D3F2665" w14:textId="77777777" w:rsidR="00F56078" w:rsidRPr="00017D82" w:rsidRDefault="00F56078" w:rsidP="00F56078">
      <w:pPr>
        <w:pStyle w:val="Proposal"/>
        <w:overflowPunct w:val="0"/>
        <w:autoSpaceDE w:val="0"/>
        <w:autoSpaceDN w:val="0"/>
        <w:adjustRightInd w:val="0"/>
        <w:textAlignment w:val="baseline"/>
      </w:pPr>
      <w:bookmarkStart w:id="13" w:name="_Toc76226655"/>
      <w:bookmarkStart w:id="14" w:name="_Toc85711206"/>
      <w:r>
        <w:t>Introduce event-triggered distance-based UE location reporting, e.g. triggered when the UE moves a distance exceeding a configured threshold since its last reported location</w:t>
      </w:r>
      <w:r w:rsidRPr="00017D82">
        <w:t>.</w:t>
      </w:r>
      <w:bookmarkEnd w:id="13"/>
      <w:bookmarkEnd w:id="14"/>
    </w:p>
    <w:p w14:paraId="647773F1" w14:textId="2D15F6AA" w:rsidR="00400AFC" w:rsidRDefault="00400AFC" w:rsidP="00F56078">
      <w:pPr>
        <w:pStyle w:val="BodyText"/>
      </w:pPr>
      <w:r>
        <w:t xml:space="preserve">An alternative to this is that </w:t>
      </w:r>
      <w:r w:rsidR="00B87BC1">
        <w:t>network configures the UE with alternatives of measurement gap/SMTC and UE informs which pattern</w:t>
      </w:r>
      <w:r w:rsidR="003D5B05">
        <w:t xml:space="preserve"> </w:t>
      </w:r>
      <w:r w:rsidR="000F5F08">
        <w:t xml:space="preserve">(or offset) is in use. This alternative is discussed in </w:t>
      </w:r>
      <w:r w:rsidR="00C64244">
        <w:t>[</w:t>
      </w:r>
      <w:r w:rsidR="005959FA">
        <w:t>5</w:t>
      </w:r>
      <w:r w:rsidR="00C64244">
        <w:t>].</w:t>
      </w:r>
    </w:p>
    <w:p w14:paraId="69C9B0B2" w14:textId="436DC016" w:rsidR="00774C7C" w:rsidRDefault="00774C7C" w:rsidP="00F56078">
      <w:pPr>
        <w:pStyle w:val="BodyText"/>
      </w:pPr>
    </w:p>
    <w:p w14:paraId="646EDDF6" w14:textId="358A80A1" w:rsidR="00774C7C" w:rsidRDefault="00EA2B48" w:rsidP="00F56078">
      <w:pPr>
        <w:pStyle w:val="BodyText"/>
      </w:pPr>
      <w:r>
        <w:t xml:space="preserve">Finally, it was commented during the running RRC CR discussion that RAN2 has not explicitely agreed to support multiple measurement gaps and the list of gaps suggested to be implemented </w:t>
      </w:r>
      <w:r w:rsidR="00446DB3">
        <w:t xml:space="preserve">was removed. Thus, RAN2 should discuss whether single measurement gap can support NTN measurements or multiple gap patterns need to be </w:t>
      </w:r>
      <w:r w:rsidR="008215B1">
        <w:t>configured per UE.</w:t>
      </w:r>
      <w:r w:rsidR="00026F11">
        <w:t xml:space="preserve"> In this discussion RAN2 should </w:t>
      </w:r>
      <w:r w:rsidR="007B2191">
        <w:t>align with Meas Gaps WI and Multi</w:t>
      </w:r>
      <w:r w:rsidR="00BB0B25">
        <w:t>U-</w:t>
      </w:r>
      <w:r w:rsidR="007B2191">
        <w:t>SIM WI in order not to specify list of gaps twice.</w:t>
      </w:r>
    </w:p>
    <w:p w14:paraId="56B266D6" w14:textId="15200F03" w:rsidR="00A413D6" w:rsidRDefault="00A413D6" w:rsidP="00F56078">
      <w:pPr>
        <w:pStyle w:val="BodyText"/>
      </w:pPr>
    </w:p>
    <w:p w14:paraId="6932E57E" w14:textId="2D58694C" w:rsidR="00BD448D" w:rsidRDefault="00A413D6" w:rsidP="00F56078">
      <w:pPr>
        <w:pStyle w:val="BodyText"/>
      </w:pPr>
      <w:r>
        <w:t>Multi</w:t>
      </w:r>
      <w:r w:rsidR="007E0141">
        <w:t xml:space="preserve">U-SIM WI has agreed </w:t>
      </w:r>
      <w:r w:rsidR="006A242A">
        <w:t xml:space="preserve">two additional periodic measurement gaps and one additional aperiodic measurement gap. </w:t>
      </w:r>
      <w:r w:rsidR="007C560A">
        <w:t>The value set for offset, periodicity and window lenght</w:t>
      </w:r>
      <w:r w:rsidR="009B7E7F">
        <w:t>, that is, the gap pattern is likely as in legacy gaps</w:t>
      </w:r>
      <w:r w:rsidR="00AC5899">
        <w:t xml:space="preserve">. </w:t>
      </w:r>
      <w:r w:rsidR="00530C34">
        <w:t>The detailed discussion is still open and the details of the aperiodic gap are also open</w:t>
      </w:r>
      <w:r w:rsidR="00CA661D">
        <w:t>.</w:t>
      </w:r>
      <w:r w:rsidR="00087751">
        <w:t xml:space="preserve"> </w:t>
      </w:r>
      <w:r w:rsidR="006C22EB">
        <w:t>Meas Gap WI is starting</w:t>
      </w:r>
      <w:r w:rsidR="00853DB1">
        <w:t xml:space="preserve"> </w:t>
      </w:r>
      <w:r w:rsidR="00FD43A1">
        <w:t xml:space="preserve">RAN2 </w:t>
      </w:r>
      <w:r w:rsidR="00853DB1">
        <w:t>work in RAN2#116</w:t>
      </w:r>
      <w:r w:rsidR="00A7694F">
        <w:t>. One</w:t>
      </w:r>
      <w:r w:rsidR="00711684">
        <w:t xml:space="preserve"> example of potential outcome is to </w:t>
      </w:r>
      <w:r w:rsidR="005200FA">
        <w:t>associat</w:t>
      </w:r>
      <w:r w:rsidR="00711684">
        <w:t>e</w:t>
      </w:r>
      <w:r w:rsidR="005200FA">
        <w:t xml:space="preserve"> </w:t>
      </w:r>
      <w:r w:rsidR="00732969">
        <w:t>measurement gaps to M</w:t>
      </w:r>
      <w:r w:rsidR="00A7694F">
        <w:t>O</w:t>
      </w:r>
      <w:r w:rsidR="00732969">
        <w:t>s in</w:t>
      </w:r>
      <w:r w:rsidR="00A7694F">
        <w:t xml:space="preserve"> addition to</w:t>
      </w:r>
      <w:r w:rsidR="00732969">
        <w:t xml:space="preserve"> ”per UE” or ”per FR1/2”</w:t>
      </w:r>
      <w:r w:rsidR="00A7694F">
        <w:t>.</w:t>
      </w:r>
      <w:r w:rsidR="00BC797C">
        <w:t xml:space="preserve"> In RAN4</w:t>
      </w:r>
      <w:r w:rsidR="004050C8">
        <w:t xml:space="preserve"> the agreement is up to 2 simultanous </w:t>
      </w:r>
      <w:r w:rsidR="001B16EF">
        <w:t>measurement gaps.</w:t>
      </w:r>
      <w:r w:rsidR="00634676">
        <w:t xml:space="preserve"> </w:t>
      </w:r>
    </w:p>
    <w:p w14:paraId="7FE83A2B" w14:textId="30093FCE" w:rsidR="00CA661D" w:rsidRDefault="00CA661D" w:rsidP="00F56078">
      <w:pPr>
        <w:pStyle w:val="BodyText"/>
      </w:pPr>
      <w:r>
        <w:t xml:space="preserve">From NTN perspective, RAN2 has agreed up to 4 SMTCs and send LS to RAN4 to confirm the value 4. </w:t>
      </w:r>
      <w:r w:rsidR="00635A91">
        <w:t>It looks like having 4 SMTC configurations would call for 4</w:t>
      </w:r>
      <w:r w:rsidR="00991AB0">
        <w:t xml:space="preserve"> measurement gap patterns per UE. </w:t>
      </w:r>
    </w:p>
    <w:p w14:paraId="0606128A" w14:textId="77777777" w:rsidR="008215B1" w:rsidRDefault="008215B1" w:rsidP="008215B1">
      <w:pPr>
        <w:pStyle w:val="BodyText"/>
        <w:rPr>
          <w:rFonts w:eastAsia="Malgun Gothic" w:cs="Arial"/>
        </w:rPr>
      </w:pPr>
    </w:p>
    <w:p w14:paraId="66B5B202" w14:textId="749FC303" w:rsidR="009F50ED" w:rsidRPr="009E6DB6" w:rsidRDefault="009F50ED" w:rsidP="00705FC3">
      <w:pPr>
        <w:pStyle w:val="Proposal"/>
        <w:overflowPunct w:val="0"/>
        <w:autoSpaceDE w:val="0"/>
        <w:autoSpaceDN w:val="0"/>
        <w:adjustRightInd w:val="0"/>
        <w:textAlignment w:val="baseline"/>
      </w:pPr>
      <w:bookmarkStart w:id="15" w:name="_Toc85711207"/>
      <w:r>
        <w:t xml:space="preserve">RAN2 to agree up to 4 measurement gap patterns for NTN UE and </w:t>
      </w:r>
      <w:r w:rsidR="00D560E7">
        <w:t xml:space="preserve">coordinate the RRC </w:t>
      </w:r>
      <w:r w:rsidR="00BF42CC">
        <w:t>configuration details with other WI</w:t>
      </w:r>
      <w:r w:rsidR="00CC01F6">
        <w:t>.</w:t>
      </w:r>
      <w:bookmarkEnd w:id="15"/>
    </w:p>
    <w:p w14:paraId="07477B7B" w14:textId="5C58D787" w:rsidR="008215B1" w:rsidRDefault="008215B1" w:rsidP="00F56078">
      <w:pPr>
        <w:pStyle w:val="BodyText"/>
      </w:pPr>
    </w:p>
    <w:p w14:paraId="14DD4F53" w14:textId="77777777" w:rsidR="00945119" w:rsidRDefault="00945119" w:rsidP="00945119">
      <w:pPr>
        <w:pStyle w:val="Heading1"/>
      </w:pPr>
      <w:r>
        <w:t>Remaining issues on Conditional Handover</w:t>
      </w:r>
    </w:p>
    <w:p w14:paraId="03C27646" w14:textId="77777777" w:rsidR="00945119" w:rsidRDefault="00945119" w:rsidP="00945119">
      <w:pPr>
        <w:rPr>
          <w:rFonts w:ascii="Arial" w:hAnsi="Arial" w:cs="Arial"/>
          <w:lang w:val="en-GB" w:eastAsia="zh-CN"/>
        </w:rPr>
      </w:pPr>
      <w:r>
        <w:rPr>
          <w:rFonts w:ascii="Arial" w:hAnsi="Arial" w:cs="Arial"/>
          <w:lang w:val="en-GB" w:eastAsia="zh-CN"/>
        </w:rPr>
        <w:t>Discussions on Conditional Handover progressed well during the RAN2#115 meeting and several important agreements were reached.</w:t>
      </w:r>
    </w:p>
    <w:p w14:paraId="563FFB7F" w14:textId="77777777" w:rsidR="00945119" w:rsidRDefault="00945119" w:rsidP="00945119">
      <w:pPr>
        <w:rPr>
          <w:rFonts w:ascii="Arial" w:hAnsi="Arial" w:cs="Arial"/>
          <w:lang w:val="en-GB" w:eastAsia="zh-CN"/>
        </w:rPr>
      </w:pPr>
      <w:r>
        <w:rPr>
          <w:rFonts w:ascii="Arial" w:hAnsi="Arial" w:cs="Arial"/>
          <w:lang w:val="en-GB" w:eastAsia="zh-CN"/>
        </w:rPr>
        <w:t xml:space="preserve">One of the agreements relates to the </w:t>
      </w:r>
      <w:proofErr w:type="gramStart"/>
      <w:r>
        <w:rPr>
          <w:rFonts w:ascii="Arial" w:hAnsi="Arial" w:cs="Arial"/>
          <w:lang w:val="en-GB" w:eastAsia="zh-CN"/>
        </w:rPr>
        <w:t>time based</w:t>
      </w:r>
      <w:proofErr w:type="gramEnd"/>
      <w:r>
        <w:rPr>
          <w:rFonts w:ascii="Arial" w:hAnsi="Arial" w:cs="Arial"/>
          <w:lang w:val="en-GB" w:eastAsia="zh-CN"/>
        </w:rPr>
        <w:t xml:space="preserve"> condition when the UE is allowed to perform handover to a candidate target cell.</w:t>
      </w:r>
    </w:p>
    <w:p w14:paraId="6FA02D72" w14:textId="77777777" w:rsidR="00945119" w:rsidRDefault="00945119" w:rsidP="00945119">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Pr>
          <w:lang w:val="sv-SE"/>
        </w:rPr>
        <w:t>4.</w:t>
      </w:r>
      <w:r>
        <w:rPr>
          <w:lang w:val="sv-SE"/>
        </w:rPr>
        <w:tab/>
      </w:r>
      <w:r>
        <w:t>UE is allowed to perform HO only during T1 to T2</w:t>
      </w:r>
    </w:p>
    <w:p w14:paraId="6EFC6759" w14:textId="77777777" w:rsidR="00945119" w:rsidRDefault="00945119" w:rsidP="00945119">
      <w:pPr>
        <w:rPr>
          <w:rFonts w:ascii="Arial" w:hAnsi="Arial" w:cs="Arial"/>
          <w:lang w:val="en-GB" w:eastAsia="zh-CN"/>
        </w:rPr>
      </w:pPr>
    </w:p>
    <w:p w14:paraId="6415A1C3" w14:textId="77777777" w:rsidR="00945119" w:rsidRDefault="00945119" w:rsidP="00945119">
      <w:pPr>
        <w:rPr>
          <w:rFonts w:ascii="Arial" w:hAnsi="Arial" w:cs="Arial"/>
          <w:lang w:val="en-GB" w:eastAsia="zh-CN"/>
        </w:rPr>
      </w:pPr>
      <w:r>
        <w:rPr>
          <w:rFonts w:ascii="Arial" w:hAnsi="Arial" w:cs="Arial"/>
          <w:lang w:val="en-GB" w:eastAsia="zh-CN"/>
        </w:rPr>
        <w:t xml:space="preserve">T1 represents a UTC time and T2 a duration/timer, </w:t>
      </w:r>
      <w:proofErr w:type="gramStart"/>
      <w:r>
        <w:rPr>
          <w:rFonts w:ascii="Arial" w:hAnsi="Arial" w:cs="Arial"/>
          <w:lang w:val="en-GB" w:eastAsia="zh-CN"/>
        </w:rPr>
        <w:t>e.g.</w:t>
      </w:r>
      <w:proofErr w:type="gramEnd"/>
      <w:r>
        <w:rPr>
          <w:rFonts w:ascii="Arial" w:hAnsi="Arial" w:cs="Arial"/>
          <w:lang w:val="en-GB" w:eastAsia="zh-CN"/>
        </w:rPr>
        <w:t xml:space="preserve"> </w:t>
      </w:r>
      <w:r w:rsidRPr="0075466D">
        <w:rPr>
          <w:rFonts w:ascii="Arial" w:hAnsi="Arial" w:cs="Arial"/>
          <w:lang w:val="en-GB" w:eastAsia="zh-CN"/>
        </w:rPr>
        <w:t>00:00:01 + 40s</w:t>
      </w:r>
      <w:r>
        <w:rPr>
          <w:rFonts w:ascii="Arial" w:hAnsi="Arial" w:cs="Arial"/>
          <w:lang w:val="en-GB" w:eastAsia="zh-CN"/>
        </w:rPr>
        <w:t>, both configured to the UE in the CHO configuration of a candidate target cell.</w:t>
      </w:r>
    </w:p>
    <w:p w14:paraId="2CEBAD5A" w14:textId="77777777" w:rsidR="00945119" w:rsidRDefault="00945119" w:rsidP="00945119">
      <w:pPr>
        <w:rPr>
          <w:rFonts w:ascii="Arial" w:hAnsi="Arial" w:cs="Arial"/>
          <w:lang w:val="en-GB" w:eastAsia="zh-CN"/>
        </w:rPr>
      </w:pPr>
      <w:r>
        <w:rPr>
          <w:rFonts w:ascii="Arial" w:hAnsi="Arial" w:cs="Arial"/>
          <w:lang w:val="en-GB" w:eastAsia="zh-CN"/>
        </w:rPr>
        <w:t>Consequently, the agreement implies that the UE is only allowed to perform handover to the candidate target cell if the conditions configured to the UE (time and RRM-based conditions) are fulfilled between T1 and T2.</w:t>
      </w:r>
    </w:p>
    <w:p w14:paraId="686624AB" w14:textId="77777777" w:rsidR="00945119" w:rsidRDefault="00945119" w:rsidP="00945119">
      <w:pPr>
        <w:rPr>
          <w:rFonts w:ascii="Arial" w:hAnsi="Arial" w:cs="Arial"/>
          <w:lang w:val="en-GB" w:eastAsia="zh-CN"/>
        </w:rPr>
      </w:pPr>
      <w:r>
        <w:rPr>
          <w:rFonts w:ascii="Arial" w:hAnsi="Arial" w:cs="Arial"/>
          <w:lang w:val="en-GB" w:eastAsia="zh-CN"/>
        </w:rPr>
        <w:t>However, one question that remain unresolved from last RAN2 meeting concerns the CHO configuration and whether the UE shall keep or discard the CHO configuration at T2 if the conditions for the candidate target cell is not fulfilled.</w:t>
      </w:r>
    </w:p>
    <w:p w14:paraId="31999F32" w14:textId="77777777" w:rsidR="00945119" w:rsidRDefault="00945119" w:rsidP="00945119">
      <w:pPr>
        <w:rPr>
          <w:rFonts w:ascii="Arial" w:hAnsi="Arial" w:cs="Arial"/>
          <w:lang w:val="en-GB" w:eastAsia="zh-CN"/>
        </w:rPr>
      </w:pPr>
      <w:r>
        <w:rPr>
          <w:rFonts w:ascii="Arial" w:hAnsi="Arial" w:cs="Arial"/>
          <w:lang w:val="en-GB" w:eastAsia="zh-CN"/>
        </w:rPr>
        <w:t xml:space="preserve">In Rel-16, the UE discards the CHO configuration either after successfully completing the handover procedure or, in case of a handover failure, after the recovery procedure. In the latter case the CHO configuration is kept after </w:t>
      </w:r>
      <w:proofErr w:type="gramStart"/>
      <w:r>
        <w:rPr>
          <w:rFonts w:ascii="Arial" w:hAnsi="Arial" w:cs="Arial"/>
          <w:lang w:val="en-GB" w:eastAsia="zh-CN"/>
        </w:rPr>
        <w:t>e.g.</w:t>
      </w:r>
      <w:proofErr w:type="gramEnd"/>
      <w:r>
        <w:rPr>
          <w:rFonts w:ascii="Arial" w:hAnsi="Arial" w:cs="Arial"/>
          <w:lang w:val="en-GB" w:eastAsia="zh-CN"/>
        </w:rPr>
        <w:t xml:space="preserve"> a RLF during the handover since it may be re-used in the recovery procedure following the cell selection procedure if </w:t>
      </w:r>
      <w:r w:rsidRPr="00D46B45">
        <w:rPr>
          <w:rFonts w:ascii="Arial" w:hAnsi="Arial" w:cs="Arial"/>
          <w:lang w:val="en-GB" w:eastAsia="zh-CN"/>
        </w:rPr>
        <w:t xml:space="preserve">the selected cell </w:t>
      </w:r>
      <w:r>
        <w:rPr>
          <w:rFonts w:ascii="Arial" w:hAnsi="Arial" w:cs="Arial"/>
          <w:lang w:val="en-GB" w:eastAsia="zh-CN"/>
        </w:rPr>
        <w:t>happens to be</w:t>
      </w:r>
      <w:r w:rsidRPr="00D46B45">
        <w:rPr>
          <w:rFonts w:ascii="Arial" w:hAnsi="Arial" w:cs="Arial"/>
          <w:lang w:val="en-GB" w:eastAsia="zh-CN"/>
        </w:rPr>
        <w:t xml:space="preserve"> one of the candidate </w:t>
      </w:r>
      <w:r>
        <w:rPr>
          <w:rFonts w:ascii="Arial" w:hAnsi="Arial" w:cs="Arial"/>
          <w:lang w:val="en-GB" w:eastAsia="zh-CN"/>
        </w:rPr>
        <w:t xml:space="preserve">target </w:t>
      </w:r>
      <w:r w:rsidRPr="00D46B45">
        <w:rPr>
          <w:rFonts w:ascii="Arial" w:hAnsi="Arial" w:cs="Arial"/>
          <w:lang w:val="en-GB" w:eastAsia="zh-CN"/>
        </w:rPr>
        <w:t>cells</w:t>
      </w:r>
      <w:r>
        <w:rPr>
          <w:rFonts w:ascii="Arial" w:hAnsi="Arial" w:cs="Arial"/>
          <w:lang w:val="en-GB" w:eastAsia="zh-CN"/>
        </w:rPr>
        <w:t xml:space="preserve"> in the CHO configuration.</w:t>
      </w:r>
    </w:p>
    <w:p w14:paraId="6D7D0A4B" w14:textId="291E92F1" w:rsidR="00945119" w:rsidRDefault="00945119" w:rsidP="00945119">
      <w:pPr>
        <w:rPr>
          <w:rFonts w:ascii="Arial" w:hAnsi="Arial" w:cs="Arial"/>
          <w:lang w:val="en-GB" w:eastAsia="zh-CN"/>
        </w:rPr>
      </w:pPr>
      <w:r>
        <w:rPr>
          <w:rFonts w:ascii="Arial" w:hAnsi="Arial" w:cs="Arial"/>
          <w:lang w:val="en-GB" w:eastAsia="zh-CN"/>
        </w:rPr>
        <w:t xml:space="preserve">Likewise, a UE configured with a </w:t>
      </w:r>
      <w:proofErr w:type="gramStart"/>
      <w:r>
        <w:rPr>
          <w:rFonts w:ascii="Arial" w:hAnsi="Arial" w:cs="Arial"/>
          <w:lang w:val="en-GB" w:eastAsia="zh-CN"/>
        </w:rPr>
        <w:t>time based</w:t>
      </w:r>
      <w:proofErr w:type="gramEnd"/>
      <w:r>
        <w:rPr>
          <w:rFonts w:ascii="Arial" w:hAnsi="Arial" w:cs="Arial"/>
          <w:lang w:val="en-GB" w:eastAsia="zh-CN"/>
        </w:rPr>
        <w:t xml:space="preserve"> condition in NTN may keep </w:t>
      </w:r>
      <w:r w:rsidRPr="00F26981">
        <w:rPr>
          <w:rFonts w:ascii="Arial" w:hAnsi="Arial" w:cs="Arial"/>
          <w:lang w:val="en-GB" w:eastAsia="zh-CN"/>
        </w:rPr>
        <w:t xml:space="preserve">the CHO configuration </w:t>
      </w:r>
      <w:r>
        <w:rPr>
          <w:rFonts w:ascii="Arial" w:hAnsi="Arial" w:cs="Arial"/>
          <w:lang w:val="en-GB" w:eastAsia="zh-CN"/>
        </w:rPr>
        <w:t>after T2 even if the time and RRM-based conditions are not fulfilled for the candidate target cell. I</w:t>
      </w:r>
      <w:r w:rsidRPr="00F26981">
        <w:rPr>
          <w:rFonts w:ascii="Arial" w:hAnsi="Arial" w:cs="Arial"/>
          <w:lang w:val="en-GB" w:eastAsia="zh-CN"/>
        </w:rPr>
        <w:t>f</w:t>
      </w:r>
      <w:r>
        <w:rPr>
          <w:rFonts w:ascii="Arial" w:hAnsi="Arial" w:cs="Arial"/>
          <w:lang w:val="en-GB" w:eastAsia="zh-CN"/>
        </w:rPr>
        <w:t xml:space="preserve">, after T2, the </w:t>
      </w:r>
      <w:r w:rsidRPr="00F26981">
        <w:rPr>
          <w:rFonts w:ascii="Arial" w:hAnsi="Arial" w:cs="Arial"/>
          <w:lang w:val="en-GB" w:eastAsia="zh-CN"/>
        </w:rPr>
        <w:t xml:space="preserve">connection to the </w:t>
      </w:r>
      <w:r w:rsidR="00A26A55">
        <w:rPr>
          <w:rFonts w:ascii="Arial" w:hAnsi="Arial" w:cs="Arial"/>
          <w:lang w:val="en-GB" w:eastAsia="zh-CN"/>
        </w:rPr>
        <w:t>serving</w:t>
      </w:r>
      <w:r w:rsidRPr="00F26981">
        <w:rPr>
          <w:rFonts w:ascii="Arial" w:hAnsi="Arial" w:cs="Arial"/>
          <w:lang w:val="en-GB" w:eastAsia="zh-CN"/>
        </w:rPr>
        <w:t xml:space="preserve"> cell is lost</w:t>
      </w:r>
      <w:r>
        <w:rPr>
          <w:rFonts w:ascii="Arial" w:hAnsi="Arial" w:cs="Arial"/>
          <w:lang w:val="en-GB" w:eastAsia="zh-CN"/>
        </w:rPr>
        <w:t xml:space="preserve">, the CHO configuration stored by the UE can be re-used in the </w:t>
      </w:r>
      <w:r w:rsidRPr="00F26981">
        <w:rPr>
          <w:rFonts w:ascii="Arial" w:hAnsi="Arial" w:cs="Arial"/>
          <w:lang w:val="en-GB" w:eastAsia="zh-CN"/>
        </w:rPr>
        <w:t>recovery procedure</w:t>
      </w:r>
      <w:r>
        <w:rPr>
          <w:rFonts w:ascii="Arial" w:hAnsi="Arial" w:cs="Arial"/>
          <w:lang w:val="en-GB" w:eastAsia="zh-CN"/>
        </w:rPr>
        <w:t xml:space="preserve"> if the selected cell </w:t>
      </w:r>
      <w:r w:rsidRPr="00F26981">
        <w:rPr>
          <w:rFonts w:ascii="Arial" w:hAnsi="Arial" w:cs="Arial"/>
          <w:lang w:val="en-GB" w:eastAsia="zh-CN"/>
        </w:rPr>
        <w:t xml:space="preserve">associates to </w:t>
      </w:r>
      <w:r w:rsidRPr="00E37D19">
        <w:rPr>
          <w:rFonts w:ascii="Arial" w:hAnsi="Arial" w:cs="Arial"/>
          <w:lang w:val="en-GB" w:eastAsia="zh-CN"/>
        </w:rPr>
        <w:t xml:space="preserve">one of </w:t>
      </w:r>
      <w:r w:rsidRPr="00F26981">
        <w:rPr>
          <w:rFonts w:ascii="Arial" w:hAnsi="Arial" w:cs="Arial"/>
          <w:lang w:val="en-GB" w:eastAsia="zh-CN"/>
        </w:rPr>
        <w:t xml:space="preserve">the </w:t>
      </w:r>
      <w:r w:rsidRPr="00E37D19">
        <w:rPr>
          <w:rFonts w:ascii="Arial" w:hAnsi="Arial" w:cs="Arial"/>
          <w:lang w:val="en-GB" w:eastAsia="zh-CN"/>
        </w:rPr>
        <w:t>cells</w:t>
      </w:r>
      <w:r>
        <w:rPr>
          <w:rFonts w:ascii="Arial" w:hAnsi="Arial" w:cs="Arial"/>
          <w:lang w:val="en-GB" w:eastAsia="zh-CN"/>
        </w:rPr>
        <w:t xml:space="preserve"> in the </w:t>
      </w:r>
      <w:r w:rsidRPr="00F26981">
        <w:rPr>
          <w:rFonts w:ascii="Arial" w:hAnsi="Arial" w:cs="Arial"/>
          <w:lang w:val="en-GB" w:eastAsia="zh-CN"/>
        </w:rPr>
        <w:t>stored CHO configuration</w:t>
      </w:r>
      <w:r>
        <w:rPr>
          <w:rFonts w:ascii="Arial" w:hAnsi="Arial" w:cs="Arial"/>
          <w:lang w:val="en-GB" w:eastAsia="zh-CN"/>
        </w:rPr>
        <w:t>.</w:t>
      </w:r>
    </w:p>
    <w:p w14:paraId="53AFD817" w14:textId="5A6C1422" w:rsidR="00945119" w:rsidRDefault="00945119" w:rsidP="00945119">
      <w:pPr>
        <w:rPr>
          <w:rFonts w:ascii="Arial" w:hAnsi="Arial" w:cs="Arial"/>
          <w:lang w:val="en-GB" w:eastAsia="zh-CN"/>
        </w:rPr>
      </w:pPr>
      <w:r>
        <w:rPr>
          <w:rFonts w:ascii="Arial" w:hAnsi="Arial" w:cs="Arial"/>
          <w:lang w:val="en-GB" w:eastAsia="zh-CN"/>
        </w:rPr>
        <w:t>A typical example where this behaviour could be useful is in the</w:t>
      </w:r>
      <w:r w:rsidRPr="00F26981">
        <w:rPr>
          <w:rFonts w:ascii="Arial" w:hAnsi="Arial" w:cs="Arial"/>
          <w:lang w:val="en-GB" w:eastAsia="zh-CN"/>
        </w:rPr>
        <w:t xml:space="preserve"> quasi-Earth-fixed cell change scenario</w:t>
      </w:r>
      <w:r>
        <w:rPr>
          <w:rFonts w:ascii="Arial" w:hAnsi="Arial" w:cs="Arial"/>
          <w:lang w:val="en-GB" w:eastAsia="zh-CN"/>
        </w:rPr>
        <w:t xml:space="preserve">. If the CHO (for whatever reason) is not fulfilled at T2 and the connection to the </w:t>
      </w:r>
      <w:r w:rsidR="00A26A55">
        <w:rPr>
          <w:rFonts w:ascii="Arial" w:hAnsi="Arial" w:cs="Arial"/>
          <w:lang w:val="en-GB" w:eastAsia="zh-CN"/>
        </w:rPr>
        <w:t>serving</w:t>
      </w:r>
      <w:r>
        <w:rPr>
          <w:rFonts w:ascii="Arial" w:hAnsi="Arial" w:cs="Arial"/>
          <w:lang w:val="en-GB" w:eastAsia="zh-CN"/>
        </w:rPr>
        <w:t xml:space="preserve"> cell is lost shortly after</w:t>
      </w:r>
      <w:r w:rsidRPr="00F26981">
        <w:rPr>
          <w:rFonts w:ascii="Arial" w:hAnsi="Arial" w:cs="Arial"/>
          <w:lang w:val="en-GB" w:eastAsia="zh-CN"/>
        </w:rPr>
        <w:t xml:space="preserve">, it is quite likely that the </w:t>
      </w:r>
      <w:r>
        <w:rPr>
          <w:rFonts w:ascii="Arial" w:hAnsi="Arial" w:cs="Arial"/>
          <w:lang w:val="en-GB" w:eastAsia="zh-CN"/>
        </w:rPr>
        <w:t xml:space="preserve">cell </w:t>
      </w:r>
      <w:r w:rsidRPr="00F26981">
        <w:rPr>
          <w:rFonts w:ascii="Arial" w:hAnsi="Arial" w:cs="Arial"/>
          <w:lang w:val="en-GB" w:eastAsia="zh-CN"/>
        </w:rPr>
        <w:t>selected</w:t>
      </w:r>
      <w:r>
        <w:rPr>
          <w:rFonts w:ascii="Arial" w:hAnsi="Arial" w:cs="Arial"/>
          <w:lang w:val="en-GB" w:eastAsia="zh-CN"/>
        </w:rPr>
        <w:t xml:space="preserve"> in the cell selection procedure </w:t>
      </w:r>
      <w:r w:rsidRPr="00F26981">
        <w:rPr>
          <w:rFonts w:ascii="Arial" w:hAnsi="Arial" w:cs="Arial"/>
          <w:lang w:val="en-GB" w:eastAsia="zh-CN"/>
        </w:rPr>
        <w:t xml:space="preserve">will associate to </w:t>
      </w:r>
      <w:r>
        <w:rPr>
          <w:rFonts w:ascii="Arial" w:hAnsi="Arial" w:cs="Arial"/>
          <w:lang w:val="en-GB" w:eastAsia="zh-CN"/>
        </w:rPr>
        <w:t xml:space="preserve">one of </w:t>
      </w:r>
      <w:r w:rsidRPr="00F26981">
        <w:rPr>
          <w:rFonts w:ascii="Arial" w:hAnsi="Arial" w:cs="Arial"/>
          <w:lang w:val="en-GB" w:eastAsia="zh-CN"/>
        </w:rPr>
        <w:t xml:space="preserve">the </w:t>
      </w:r>
      <w:r>
        <w:rPr>
          <w:rFonts w:ascii="Arial" w:hAnsi="Arial" w:cs="Arial"/>
          <w:lang w:val="en-GB" w:eastAsia="zh-CN"/>
        </w:rPr>
        <w:t xml:space="preserve">cells in the </w:t>
      </w:r>
      <w:r w:rsidRPr="00F26981">
        <w:rPr>
          <w:rFonts w:ascii="Arial" w:hAnsi="Arial" w:cs="Arial"/>
          <w:lang w:val="en-GB" w:eastAsia="zh-CN"/>
        </w:rPr>
        <w:t>stored CHO configuration</w:t>
      </w:r>
      <w:r>
        <w:rPr>
          <w:rFonts w:ascii="Arial" w:hAnsi="Arial" w:cs="Arial"/>
          <w:lang w:val="en-GB" w:eastAsia="zh-CN"/>
        </w:rPr>
        <w:t>. This would then substantially shorten the UE recovery procedure.</w:t>
      </w:r>
    </w:p>
    <w:p w14:paraId="1C01BB6E" w14:textId="77777777" w:rsidR="00945119" w:rsidRPr="0030272F" w:rsidRDefault="00945119" w:rsidP="00945119">
      <w:pPr>
        <w:pStyle w:val="Proposal"/>
        <w:rPr>
          <w:rFonts w:cs="Arial"/>
          <w:lang w:val="en-GB" w:eastAsia="zh-CN"/>
        </w:rPr>
      </w:pPr>
      <w:bookmarkStart w:id="16" w:name="_Toc85711208"/>
      <w:r w:rsidRPr="0030272F">
        <w:rPr>
          <w:lang w:val="en-GB" w:eastAsia="zh-CN"/>
        </w:rPr>
        <w:t>RAN2 to discuss whether the UE shall keep the CHO configuration after T2 even if the conditions for the candidate target cell is not fulfilled.</w:t>
      </w:r>
      <w:bookmarkEnd w:id="16"/>
    </w:p>
    <w:p w14:paraId="17C800DB" w14:textId="77777777" w:rsidR="00945119" w:rsidRDefault="00945119" w:rsidP="00945119">
      <w:pPr>
        <w:rPr>
          <w:rFonts w:ascii="Arial" w:hAnsi="Arial" w:cs="Arial"/>
          <w:lang w:val="en-GB" w:eastAsia="zh-CN"/>
        </w:rPr>
      </w:pPr>
    </w:p>
    <w:p w14:paraId="6861ED2A" w14:textId="371DBAF5" w:rsidR="00945119" w:rsidRDefault="00945119" w:rsidP="00945119">
      <w:pPr>
        <w:rPr>
          <w:rFonts w:ascii="Arial" w:hAnsi="Arial" w:cs="Arial"/>
          <w:lang w:val="en-GB" w:eastAsia="zh-CN"/>
        </w:rPr>
      </w:pPr>
      <w:r>
        <w:rPr>
          <w:rFonts w:ascii="Arial" w:hAnsi="Arial" w:cs="Arial"/>
          <w:lang w:val="en-GB" w:eastAsia="zh-CN"/>
        </w:rPr>
        <w:t xml:space="preserve">Another CHO issue </w:t>
      </w:r>
      <w:r w:rsidR="00A26A55">
        <w:rPr>
          <w:rFonts w:ascii="Arial" w:hAnsi="Arial" w:cs="Arial"/>
          <w:lang w:val="en-GB" w:eastAsia="zh-CN"/>
        </w:rPr>
        <w:t xml:space="preserve">that remains to be solved from the last RAN2 meeting </w:t>
      </w:r>
      <w:r>
        <w:rPr>
          <w:rFonts w:ascii="Arial" w:hAnsi="Arial" w:cs="Arial"/>
          <w:lang w:val="en-GB" w:eastAsia="zh-CN"/>
        </w:rPr>
        <w:t xml:space="preserve">is related to the </w:t>
      </w:r>
      <w:proofErr w:type="gramStart"/>
      <w:r>
        <w:rPr>
          <w:rFonts w:ascii="Arial" w:hAnsi="Arial" w:cs="Arial"/>
          <w:lang w:val="en-GB" w:eastAsia="zh-CN"/>
        </w:rPr>
        <w:t>location based</w:t>
      </w:r>
      <w:proofErr w:type="gramEnd"/>
      <w:r>
        <w:rPr>
          <w:rFonts w:ascii="Arial" w:hAnsi="Arial" w:cs="Arial"/>
          <w:lang w:val="en-GB" w:eastAsia="zh-CN"/>
        </w:rPr>
        <w:t xml:space="preserve"> condition and whether other options than the agreed conditional event should be supported (see RAN2 agreement below).</w:t>
      </w:r>
    </w:p>
    <w:p w14:paraId="0FD44F69" w14:textId="77777777" w:rsidR="00945119" w:rsidRDefault="00945119" w:rsidP="00945119">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r>
        <w:br/>
      </w:r>
      <w:r w:rsidRPr="0030272F">
        <w:rPr>
          <w:highlight w:val="yellow"/>
          <w:lang w:val="sv-SE"/>
        </w:rPr>
        <w:t>FFS other options</w:t>
      </w:r>
    </w:p>
    <w:p w14:paraId="5EF718E1" w14:textId="77777777" w:rsidR="00945119" w:rsidRDefault="00945119" w:rsidP="00945119"/>
    <w:p w14:paraId="4882503F" w14:textId="0A9A2B17" w:rsidR="00945119" w:rsidRDefault="00945119" w:rsidP="00945119">
      <w:pPr>
        <w:rPr>
          <w:rFonts w:ascii="Arial" w:hAnsi="Arial" w:cs="Arial"/>
          <w:lang w:val="en-GB" w:eastAsia="zh-CN"/>
        </w:rPr>
      </w:pPr>
      <w:r>
        <w:rPr>
          <w:rFonts w:ascii="Arial" w:hAnsi="Arial" w:cs="Arial"/>
          <w:lang w:val="en-GB" w:eastAsia="zh-CN"/>
        </w:rPr>
        <w:t>One option that was discussed at the RAN2#115 meeting is a conditional event where the d</w:t>
      </w:r>
      <w:r w:rsidRPr="008B14FD">
        <w:rPr>
          <w:rFonts w:ascii="Arial" w:hAnsi="Arial" w:cs="Arial"/>
          <w:lang w:val="en-GB" w:eastAsia="zh-CN"/>
        </w:rPr>
        <w:t xml:space="preserve">istance between </w:t>
      </w:r>
      <w:r>
        <w:rPr>
          <w:rFonts w:ascii="Arial" w:hAnsi="Arial" w:cs="Arial"/>
          <w:lang w:val="en-GB" w:eastAsia="zh-CN"/>
        </w:rPr>
        <w:t xml:space="preserve">the </w:t>
      </w:r>
      <w:r w:rsidRPr="008B14FD">
        <w:rPr>
          <w:rFonts w:ascii="Arial" w:hAnsi="Arial" w:cs="Arial"/>
          <w:lang w:val="en-GB" w:eastAsia="zh-CN"/>
        </w:rPr>
        <w:t xml:space="preserve">UE and the </w:t>
      </w:r>
      <w:proofErr w:type="spellStart"/>
      <w:r w:rsidRPr="008B14FD">
        <w:rPr>
          <w:rFonts w:ascii="Arial" w:hAnsi="Arial" w:cs="Arial"/>
          <w:lang w:val="en-GB" w:eastAsia="zh-CN"/>
        </w:rPr>
        <w:t>PCell’s</w:t>
      </w:r>
      <w:proofErr w:type="spellEnd"/>
      <w:r w:rsidRPr="008B14FD">
        <w:rPr>
          <w:rFonts w:ascii="Arial" w:hAnsi="Arial" w:cs="Arial"/>
          <w:lang w:val="en-GB" w:eastAsia="zh-CN"/>
        </w:rPr>
        <w:t xml:space="preserve"> reference location becomes offset larger than the distance between </w:t>
      </w:r>
      <w:r>
        <w:rPr>
          <w:rFonts w:ascii="Arial" w:hAnsi="Arial" w:cs="Arial"/>
          <w:lang w:val="en-GB" w:eastAsia="zh-CN"/>
        </w:rPr>
        <w:t xml:space="preserve">the </w:t>
      </w:r>
      <w:r w:rsidRPr="008B14FD">
        <w:rPr>
          <w:rFonts w:ascii="Arial" w:hAnsi="Arial" w:cs="Arial"/>
          <w:lang w:val="en-GB" w:eastAsia="zh-CN"/>
        </w:rPr>
        <w:t xml:space="preserve">UE and the </w:t>
      </w:r>
      <w:r>
        <w:rPr>
          <w:rFonts w:ascii="Arial" w:hAnsi="Arial" w:cs="Arial"/>
          <w:lang w:val="en-GB" w:eastAsia="zh-CN"/>
        </w:rPr>
        <w:t>c</w:t>
      </w:r>
      <w:r w:rsidRPr="008B14FD">
        <w:rPr>
          <w:rFonts w:ascii="Arial" w:hAnsi="Arial" w:cs="Arial"/>
          <w:lang w:val="en-GB" w:eastAsia="zh-CN"/>
        </w:rPr>
        <w:t>onditional candidate</w:t>
      </w:r>
      <w:r>
        <w:rPr>
          <w:rFonts w:ascii="Arial" w:hAnsi="Arial" w:cs="Arial"/>
          <w:lang w:val="en-GB" w:eastAsia="zh-CN"/>
        </w:rPr>
        <w:t xml:space="preserve"> target cell.</w:t>
      </w:r>
    </w:p>
    <w:p w14:paraId="4A4D58ED" w14:textId="49B63021" w:rsidR="00945119" w:rsidRDefault="00A26A55" w:rsidP="00945119">
      <w:pPr>
        <w:rPr>
          <w:rFonts w:ascii="Arial" w:hAnsi="Arial" w:cs="Arial"/>
          <w:lang w:val="en-GB" w:eastAsia="zh-CN"/>
        </w:rPr>
      </w:pPr>
      <w:r>
        <w:rPr>
          <w:rFonts w:ascii="Arial" w:hAnsi="Arial" w:cs="Arial"/>
          <w:lang w:val="en-GB" w:eastAsia="zh-CN"/>
        </w:rPr>
        <w:t>Although this option gained support from several companies, o</w:t>
      </w:r>
      <w:r w:rsidR="00945119">
        <w:rPr>
          <w:rFonts w:ascii="Arial" w:hAnsi="Arial" w:cs="Arial"/>
          <w:lang w:val="en-GB" w:eastAsia="zh-CN"/>
        </w:rPr>
        <w:t xml:space="preserve">ur view is that we shall only support events that are clearly required from a use case perspective or when we can see obvious benefits </w:t>
      </w:r>
      <w:r>
        <w:rPr>
          <w:rFonts w:ascii="Arial" w:hAnsi="Arial" w:cs="Arial"/>
          <w:lang w:val="en-GB" w:eastAsia="zh-CN"/>
        </w:rPr>
        <w:t xml:space="preserve">with a new event </w:t>
      </w:r>
      <w:r w:rsidR="00945119">
        <w:rPr>
          <w:rFonts w:ascii="Arial" w:hAnsi="Arial" w:cs="Arial"/>
          <w:lang w:val="en-GB" w:eastAsia="zh-CN"/>
        </w:rPr>
        <w:t>compared to other already supported alternatives.</w:t>
      </w:r>
    </w:p>
    <w:p w14:paraId="14596659" w14:textId="505683D6" w:rsidR="00945119" w:rsidRDefault="00945119" w:rsidP="00945119">
      <w:pPr>
        <w:rPr>
          <w:rFonts w:ascii="Arial" w:hAnsi="Arial" w:cs="Arial"/>
          <w:lang w:val="en-GB" w:eastAsia="zh-CN"/>
        </w:rPr>
      </w:pPr>
      <w:r>
        <w:rPr>
          <w:rFonts w:ascii="Arial" w:hAnsi="Arial" w:cs="Arial"/>
          <w:lang w:val="en-GB" w:eastAsia="zh-CN"/>
        </w:rPr>
        <w:t xml:space="preserve">So </w:t>
      </w:r>
      <w:proofErr w:type="gramStart"/>
      <w:r>
        <w:rPr>
          <w:rFonts w:ascii="Arial" w:hAnsi="Arial" w:cs="Arial"/>
          <w:lang w:val="en-GB" w:eastAsia="zh-CN"/>
        </w:rPr>
        <w:t>far</w:t>
      </w:r>
      <w:proofErr w:type="gramEnd"/>
      <w:r>
        <w:rPr>
          <w:rFonts w:ascii="Arial" w:hAnsi="Arial" w:cs="Arial"/>
          <w:lang w:val="en-GB" w:eastAsia="zh-CN"/>
        </w:rPr>
        <w:t xml:space="preserve"> we have not seen any strong technical arguments for </w:t>
      </w:r>
      <w:r w:rsidR="00A26A55">
        <w:rPr>
          <w:rFonts w:ascii="Arial" w:hAnsi="Arial" w:cs="Arial"/>
          <w:lang w:val="en-GB" w:eastAsia="zh-CN"/>
        </w:rPr>
        <w:t xml:space="preserve">RAN2 to </w:t>
      </w:r>
      <w:r>
        <w:rPr>
          <w:rFonts w:ascii="Arial" w:hAnsi="Arial" w:cs="Arial"/>
          <w:lang w:val="en-GB" w:eastAsia="zh-CN"/>
        </w:rPr>
        <w:t>support the above option, or for any other option. Consequently, we think that the agreed location based conditional event from RAN2#115 is good enough for the present release.</w:t>
      </w:r>
    </w:p>
    <w:p w14:paraId="44B82D89" w14:textId="77777777" w:rsidR="00945119" w:rsidRDefault="00945119" w:rsidP="00945119">
      <w:pPr>
        <w:pStyle w:val="Proposal"/>
        <w:rPr>
          <w:lang w:val="en-GB" w:eastAsia="zh-CN"/>
        </w:rPr>
      </w:pPr>
      <w:bookmarkStart w:id="17" w:name="_Toc85711209"/>
      <w:r>
        <w:rPr>
          <w:lang w:val="en-GB" w:eastAsia="zh-CN"/>
        </w:rPr>
        <w:t>RAN2 not to support any additional location based conditional event in Rel-17.</w:t>
      </w:r>
      <w:bookmarkEnd w:id="17"/>
    </w:p>
    <w:p w14:paraId="098032F8" w14:textId="77777777" w:rsidR="00945119" w:rsidRDefault="00945119" w:rsidP="00945119">
      <w:pPr>
        <w:rPr>
          <w:rFonts w:ascii="Arial" w:hAnsi="Arial" w:cs="Arial"/>
          <w:lang w:val="en-GB" w:eastAsia="zh-CN"/>
        </w:rPr>
      </w:pPr>
    </w:p>
    <w:p w14:paraId="57513893" w14:textId="77777777" w:rsidR="008215B1" w:rsidRDefault="008215B1"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1CADB01E" w14:textId="44BC74FA" w:rsidR="00160868"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85711200" w:history="1">
        <w:r w:rsidR="00160868" w:rsidRPr="007F62C3">
          <w:rPr>
            <w:rStyle w:val="Hyperlink"/>
            <w:noProof/>
          </w:rPr>
          <w:t>Observation 1</w:t>
        </w:r>
        <w:r w:rsidR="00160868">
          <w:rPr>
            <w:rFonts w:asciiTheme="minorHAnsi" w:eastAsiaTheme="minorEastAsia" w:hAnsiTheme="minorHAnsi"/>
            <w:b w:val="0"/>
            <w:noProof/>
            <w:lang w:eastAsia="fi-FI"/>
          </w:rPr>
          <w:tab/>
        </w:r>
        <w:r w:rsidR="00160868" w:rsidRPr="007F62C3">
          <w:rPr>
            <w:rStyle w:val="Hyperlink"/>
            <w:noProof/>
          </w:rPr>
          <w:t>Due to high satellite speeds and consequently fast changing propagation delays, the compound signaling for reconfiguration of SMTCs and measurement gaps for UEs connected in a cell may be undesirably extensive and may consume a significant fraction of the available control plane resources.</w:t>
        </w:r>
      </w:hyperlink>
    </w:p>
    <w:p w14:paraId="4E4A2393" w14:textId="1A2A6618" w:rsidR="00160868" w:rsidRDefault="00160868">
      <w:pPr>
        <w:pStyle w:val="TableofFigures"/>
        <w:tabs>
          <w:tab w:val="right" w:leader="dot" w:pos="9629"/>
        </w:tabs>
        <w:rPr>
          <w:rFonts w:asciiTheme="minorHAnsi" w:eastAsiaTheme="minorEastAsia" w:hAnsiTheme="minorHAnsi"/>
          <w:b w:val="0"/>
          <w:noProof/>
          <w:lang w:eastAsia="fi-FI"/>
        </w:rPr>
      </w:pPr>
      <w:hyperlink w:anchor="_Toc85711201" w:history="1">
        <w:r w:rsidRPr="007F62C3">
          <w:rPr>
            <w:rStyle w:val="Hyperlink"/>
            <w:noProof/>
          </w:rPr>
          <w:t>Observation 2</w:t>
        </w:r>
        <w:r>
          <w:rPr>
            <w:rFonts w:asciiTheme="minorHAnsi" w:eastAsiaTheme="minorEastAsia" w:hAnsiTheme="minorHAnsi"/>
            <w:b w:val="0"/>
            <w:noProof/>
            <w:lang w:eastAsia="fi-FI"/>
          </w:rPr>
          <w:tab/>
        </w:r>
        <w:r w:rsidRPr="007F62C3">
          <w:rPr>
            <w:rStyle w:val="Hyperlink"/>
            <w:noProof/>
          </w:rPr>
          <w:t>By configuring SMTC and measurement gaps in ways that take the predictable required updates into account, dynamic SMTC and measurement gap configurations can be achieved with a validity time an order of magnitude greater than simple (legacy-style) fixed configurations, thereby reducing the required SMTC and measurement gap reconfiguration signaling to a small fraction.</w:t>
        </w:r>
      </w:hyperlink>
    </w:p>
    <w:p w14:paraId="0D438C7B" w14:textId="50D9BF90" w:rsidR="00160868" w:rsidRDefault="00160868">
      <w:pPr>
        <w:pStyle w:val="TableofFigures"/>
        <w:tabs>
          <w:tab w:val="right" w:leader="dot" w:pos="9629"/>
        </w:tabs>
        <w:rPr>
          <w:rFonts w:asciiTheme="minorHAnsi" w:eastAsiaTheme="minorEastAsia" w:hAnsiTheme="minorHAnsi"/>
          <w:b w:val="0"/>
          <w:noProof/>
          <w:lang w:eastAsia="fi-FI"/>
        </w:rPr>
      </w:pPr>
      <w:hyperlink w:anchor="_Toc85711202" w:history="1">
        <w:r w:rsidRPr="007F62C3">
          <w:rPr>
            <w:rStyle w:val="Hyperlink"/>
            <w:noProof/>
          </w:rPr>
          <w:t>Observation 3</w:t>
        </w:r>
        <w:r>
          <w:rPr>
            <w:rFonts w:asciiTheme="minorHAnsi" w:eastAsiaTheme="minorEastAsia" w:hAnsiTheme="minorHAnsi"/>
            <w:b w:val="0"/>
            <w:noProof/>
            <w:lang w:eastAsia="fi-FI"/>
          </w:rPr>
          <w:tab/>
        </w:r>
        <w:r w:rsidRPr="007F62C3">
          <w:rPr>
            <w:rStyle w:val="Hyperlink"/>
            <w:noProof/>
          </w:rPr>
          <w:t>If a UE moves a distance long enough to significantly impact the propagation delay in relation to the SMTC/measurement gap offset configuration granularity (or in relation to the margins configured for the SMTC window and measurement gap durations), the network has to be informed so that it can adapt the SMTC and measurement gap configurations accordingly.</w:t>
        </w:r>
      </w:hyperlink>
    </w:p>
    <w:p w14:paraId="3A82D5E6" w14:textId="7371087F" w:rsidR="006E1C82" w:rsidRDefault="006F6582" w:rsidP="006E1C82">
      <w:pPr>
        <w:pStyle w:val="BodyText"/>
      </w:pPr>
      <w:r w:rsidRPr="00A4369A">
        <w:rPr>
          <w:b/>
        </w:rPr>
        <w:fldChar w:fldCharType="end"/>
      </w:r>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05364E83" w14:textId="3956983D" w:rsidR="00160868"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85711203" w:history="1">
        <w:r w:rsidR="00160868" w:rsidRPr="00315041">
          <w:rPr>
            <w:rStyle w:val="Hyperlink"/>
            <w:noProof/>
          </w:rPr>
          <w:t>Proposal 1</w:t>
        </w:r>
        <w:r w:rsidR="00160868">
          <w:rPr>
            <w:rFonts w:asciiTheme="minorHAnsi" w:eastAsiaTheme="minorEastAsia" w:hAnsiTheme="minorHAnsi"/>
            <w:b w:val="0"/>
            <w:noProof/>
            <w:lang w:eastAsia="fi-FI"/>
          </w:rPr>
          <w:tab/>
        </w:r>
        <w:r w:rsidR="00160868" w:rsidRPr="00315041">
          <w:rPr>
            <w:rStyle w:val="Hyperlink"/>
            <w:noProof/>
          </w:rPr>
          <w:t>RAN2 to discuss further the format of possible coarse report and whether it could already be implemented in 38.331 running CR.</w:t>
        </w:r>
      </w:hyperlink>
    </w:p>
    <w:p w14:paraId="0F6EB4A9" w14:textId="102D1899" w:rsidR="00160868" w:rsidRDefault="00160868">
      <w:pPr>
        <w:pStyle w:val="TableofFigures"/>
        <w:tabs>
          <w:tab w:val="right" w:leader="dot" w:pos="9629"/>
        </w:tabs>
        <w:rPr>
          <w:rFonts w:asciiTheme="minorHAnsi" w:eastAsiaTheme="minorEastAsia" w:hAnsiTheme="minorHAnsi"/>
          <w:b w:val="0"/>
          <w:noProof/>
          <w:lang w:eastAsia="fi-FI"/>
        </w:rPr>
      </w:pPr>
      <w:hyperlink w:anchor="_Toc85711204" w:history="1">
        <w:r w:rsidRPr="00315041">
          <w:rPr>
            <w:rStyle w:val="Hyperlink"/>
            <w:noProof/>
          </w:rPr>
          <w:t>Proposal 2</w:t>
        </w:r>
        <w:r>
          <w:rPr>
            <w:rFonts w:asciiTheme="minorHAnsi" w:eastAsiaTheme="minorEastAsia" w:hAnsiTheme="minorHAnsi"/>
            <w:b w:val="0"/>
            <w:noProof/>
            <w:lang w:eastAsia="fi-FI"/>
          </w:rPr>
          <w:tab/>
        </w:r>
        <w:r w:rsidRPr="00315041">
          <w:rPr>
            <w:rStyle w:val="Hyperlink"/>
            <w:noProof/>
          </w:rPr>
          <w:t>Introduce dynamic SMTC and measurement gap configurations that leverage the predictable nature of satellite movements and the resulting propagation delays, in order to minimize the required reconfiguration signaling for adaptation to changing propagation delays.</w:t>
        </w:r>
      </w:hyperlink>
    </w:p>
    <w:p w14:paraId="25156C4C" w14:textId="2953AB9C" w:rsidR="00160868" w:rsidRDefault="00160868">
      <w:pPr>
        <w:pStyle w:val="TableofFigures"/>
        <w:tabs>
          <w:tab w:val="right" w:leader="dot" w:pos="9629"/>
        </w:tabs>
        <w:rPr>
          <w:rFonts w:asciiTheme="minorHAnsi" w:eastAsiaTheme="minorEastAsia" w:hAnsiTheme="minorHAnsi"/>
          <w:b w:val="0"/>
          <w:noProof/>
          <w:lang w:eastAsia="fi-FI"/>
        </w:rPr>
      </w:pPr>
      <w:hyperlink w:anchor="_Toc85711205" w:history="1">
        <w:r w:rsidRPr="00315041">
          <w:rPr>
            <w:rStyle w:val="Hyperlink"/>
            <w:noProof/>
          </w:rPr>
          <w:t>Proposal 3</w:t>
        </w:r>
        <w:r>
          <w:rPr>
            <w:rFonts w:asciiTheme="minorHAnsi" w:eastAsiaTheme="minorEastAsia" w:hAnsiTheme="minorHAnsi"/>
            <w:b w:val="0"/>
            <w:noProof/>
            <w:lang w:eastAsia="fi-FI"/>
          </w:rPr>
          <w:tab/>
        </w:r>
        <w:r w:rsidRPr="00315041">
          <w:rPr>
            <w:rStyle w:val="Hyperlink"/>
            <w:noProof/>
          </w:rPr>
          <w:t>Introduce the UE’s location as assistance information sent from the UE to the gNB to facilitate accurately tailored SMTC and measurement gap configurations. The reported UE location can be coarse, adapted to what is needed for millisecond granularity in the configurations.</w:t>
        </w:r>
      </w:hyperlink>
    </w:p>
    <w:p w14:paraId="41E85C3A" w14:textId="24A4EA76" w:rsidR="00160868" w:rsidRDefault="00160868">
      <w:pPr>
        <w:pStyle w:val="TableofFigures"/>
        <w:tabs>
          <w:tab w:val="right" w:leader="dot" w:pos="9629"/>
        </w:tabs>
        <w:rPr>
          <w:rFonts w:asciiTheme="minorHAnsi" w:eastAsiaTheme="minorEastAsia" w:hAnsiTheme="minorHAnsi"/>
          <w:b w:val="0"/>
          <w:noProof/>
          <w:lang w:eastAsia="fi-FI"/>
        </w:rPr>
      </w:pPr>
      <w:hyperlink w:anchor="_Toc85711206" w:history="1">
        <w:r w:rsidRPr="00315041">
          <w:rPr>
            <w:rStyle w:val="Hyperlink"/>
            <w:noProof/>
          </w:rPr>
          <w:t>Proposal 4</w:t>
        </w:r>
        <w:r>
          <w:rPr>
            <w:rFonts w:asciiTheme="minorHAnsi" w:eastAsiaTheme="minorEastAsia" w:hAnsiTheme="minorHAnsi"/>
            <w:b w:val="0"/>
            <w:noProof/>
            <w:lang w:eastAsia="fi-FI"/>
          </w:rPr>
          <w:tab/>
        </w:r>
        <w:r w:rsidRPr="00315041">
          <w:rPr>
            <w:rStyle w:val="Hyperlink"/>
            <w:noProof/>
          </w:rPr>
          <w:t>Introduce event-triggered distance-based UE location reporting, e.g. triggered when the UE moves a distance exceeding a configured threshold since its last reported location.</w:t>
        </w:r>
      </w:hyperlink>
    </w:p>
    <w:p w14:paraId="0A26F4E4" w14:textId="189BFFB7" w:rsidR="00160868" w:rsidRDefault="00160868">
      <w:pPr>
        <w:pStyle w:val="TableofFigures"/>
        <w:tabs>
          <w:tab w:val="right" w:leader="dot" w:pos="9629"/>
        </w:tabs>
        <w:rPr>
          <w:rFonts w:asciiTheme="minorHAnsi" w:eastAsiaTheme="minorEastAsia" w:hAnsiTheme="minorHAnsi"/>
          <w:b w:val="0"/>
          <w:noProof/>
          <w:lang w:eastAsia="fi-FI"/>
        </w:rPr>
      </w:pPr>
      <w:hyperlink w:anchor="_Toc85711207" w:history="1">
        <w:r w:rsidRPr="00315041">
          <w:rPr>
            <w:rStyle w:val="Hyperlink"/>
            <w:noProof/>
          </w:rPr>
          <w:t>Proposal 5</w:t>
        </w:r>
        <w:r>
          <w:rPr>
            <w:rFonts w:asciiTheme="minorHAnsi" w:eastAsiaTheme="minorEastAsia" w:hAnsiTheme="minorHAnsi"/>
            <w:b w:val="0"/>
            <w:noProof/>
            <w:lang w:eastAsia="fi-FI"/>
          </w:rPr>
          <w:tab/>
        </w:r>
        <w:r w:rsidRPr="00315041">
          <w:rPr>
            <w:rStyle w:val="Hyperlink"/>
            <w:noProof/>
          </w:rPr>
          <w:t>RAN2 to agree up to 4 measurement gap patterns for NTN UE and coordinate the RRC configuration details with other WI.</w:t>
        </w:r>
      </w:hyperlink>
    </w:p>
    <w:p w14:paraId="138D7DD0" w14:textId="2D3995E0" w:rsidR="00160868" w:rsidRDefault="00160868">
      <w:pPr>
        <w:pStyle w:val="TableofFigures"/>
        <w:tabs>
          <w:tab w:val="right" w:leader="dot" w:pos="9629"/>
        </w:tabs>
        <w:rPr>
          <w:rFonts w:asciiTheme="minorHAnsi" w:eastAsiaTheme="minorEastAsia" w:hAnsiTheme="minorHAnsi"/>
          <w:b w:val="0"/>
          <w:noProof/>
          <w:lang w:eastAsia="fi-FI"/>
        </w:rPr>
      </w:pPr>
      <w:hyperlink w:anchor="_Toc85711208" w:history="1">
        <w:r w:rsidRPr="00315041">
          <w:rPr>
            <w:rStyle w:val="Hyperlink"/>
            <w:rFonts w:cs="Arial"/>
            <w:noProof/>
            <w:lang w:val="en-GB" w:eastAsia="zh-CN"/>
          </w:rPr>
          <w:t>Proposal 6</w:t>
        </w:r>
        <w:r>
          <w:rPr>
            <w:rFonts w:asciiTheme="minorHAnsi" w:eastAsiaTheme="minorEastAsia" w:hAnsiTheme="minorHAnsi"/>
            <w:b w:val="0"/>
            <w:noProof/>
            <w:lang w:eastAsia="fi-FI"/>
          </w:rPr>
          <w:tab/>
        </w:r>
        <w:r w:rsidRPr="00315041">
          <w:rPr>
            <w:rStyle w:val="Hyperlink"/>
            <w:noProof/>
            <w:lang w:val="en-GB" w:eastAsia="zh-CN"/>
          </w:rPr>
          <w:t>RAN2 to discuss whether the UE shall keep the CHO configuration after T2 even if the conditions for the candidate target cell is not fulfilled.</w:t>
        </w:r>
      </w:hyperlink>
    </w:p>
    <w:p w14:paraId="362043C5" w14:textId="0B537676" w:rsidR="00160868" w:rsidRDefault="00160868">
      <w:pPr>
        <w:pStyle w:val="TableofFigures"/>
        <w:tabs>
          <w:tab w:val="right" w:leader="dot" w:pos="9629"/>
        </w:tabs>
        <w:rPr>
          <w:rFonts w:asciiTheme="minorHAnsi" w:eastAsiaTheme="minorEastAsia" w:hAnsiTheme="minorHAnsi"/>
          <w:b w:val="0"/>
          <w:noProof/>
          <w:lang w:eastAsia="fi-FI"/>
        </w:rPr>
      </w:pPr>
      <w:hyperlink w:anchor="_Toc85711209" w:history="1">
        <w:r w:rsidRPr="00315041">
          <w:rPr>
            <w:rStyle w:val="Hyperlink"/>
            <w:noProof/>
            <w:lang w:val="en-GB" w:eastAsia="zh-CN"/>
          </w:rPr>
          <w:t>Proposal 7</w:t>
        </w:r>
        <w:r>
          <w:rPr>
            <w:rFonts w:asciiTheme="minorHAnsi" w:eastAsiaTheme="minorEastAsia" w:hAnsiTheme="minorHAnsi"/>
            <w:b w:val="0"/>
            <w:noProof/>
            <w:lang w:eastAsia="fi-FI"/>
          </w:rPr>
          <w:tab/>
        </w:r>
        <w:r w:rsidRPr="00315041">
          <w:rPr>
            <w:rStyle w:val="Hyperlink"/>
            <w:noProof/>
            <w:lang w:val="en-GB" w:eastAsia="zh-CN"/>
          </w:rPr>
          <w:t>RAN2 not to support any additional location based conditional event in Rel-17.</w:t>
        </w:r>
      </w:hyperlink>
    </w:p>
    <w:p w14:paraId="26EBCCF9" w14:textId="0ED4A0AE" w:rsidR="00C01F33" w:rsidRPr="00A4369A" w:rsidRDefault="006E1C82" w:rsidP="009C2D28">
      <w:pPr>
        <w:pStyle w:val="BodyText"/>
        <w:rPr>
          <w:b/>
        </w:rPr>
      </w:pPr>
      <w:r w:rsidRPr="00A4369A">
        <w:rPr>
          <w:b/>
        </w:rPr>
        <w:fldChar w:fldCharType="end"/>
      </w:r>
      <w:r w:rsidRPr="00A4369A">
        <w:rPr>
          <w:b/>
        </w:rPr>
        <w:t xml:space="preserve"> </w:t>
      </w:r>
    </w:p>
    <w:p w14:paraId="3F23459F" w14:textId="3EA4A96E" w:rsidR="00F507D1" w:rsidRPr="00A4369A" w:rsidRDefault="00AA77AD" w:rsidP="00CE0424">
      <w:pPr>
        <w:pStyle w:val="Heading1"/>
        <w:rPr>
          <w:lang w:val="en-US"/>
        </w:rPr>
      </w:pPr>
      <w:bookmarkStart w:id="18" w:name="_In-sequence_SDU_delivery"/>
      <w:bookmarkEnd w:id="18"/>
      <w:r>
        <w:rPr>
          <w:lang w:val="en-US"/>
        </w:rPr>
        <w:tab/>
      </w:r>
      <w:r w:rsidR="00F507D1" w:rsidRPr="00A4369A">
        <w:rPr>
          <w:lang w:val="en-US"/>
        </w:rPr>
        <w:t>References</w:t>
      </w:r>
    </w:p>
    <w:p w14:paraId="03BE2943" w14:textId="0BEBE7D4" w:rsidR="003A7EF3" w:rsidRDefault="002A2A3F" w:rsidP="00CE0424">
      <w:pPr>
        <w:pStyle w:val="Reference"/>
      </w:pPr>
      <w:bookmarkStart w:id="19" w:name="_Ref42716514"/>
      <w:bookmarkStart w:id="20" w:name="_Ref45286859"/>
      <w:bookmarkStart w:id="21" w:name="_Ref174151459"/>
      <w:bookmarkStart w:id="22" w:name="_Ref189809556"/>
      <w:r w:rsidRPr="008E1025">
        <w:t>RP-</w:t>
      </w:r>
      <w:r w:rsidR="0015455E" w:rsidRPr="008E1025">
        <w:t>201256</w:t>
      </w:r>
      <w:r w:rsidRPr="008E1025">
        <w:t>, “</w:t>
      </w:r>
      <w:r w:rsidR="0015455E" w:rsidRPr="008E1025">
        <w:rPr>
          <w:rFonts w:eastAsia="Batang" w:cs="Arial"/>
        </w:rPr>
        <w:t>Solutions for NR to support non-terrestrial networks (NTN)</w:t>
      </w:r>
      <w:r w:rsidR="002827FD" w:rsidRPr="008E1025">
        <w:rPr>
          <w:rFonts w:eastAsia="Batang" w:cs="Arial"/>
        </w:rPr>
        <w:t>,</w:t>
      </w:r>
      <w:r w:rsidRPr="008E1025">
        <w:t>” 3GPP TSG RAN #8</w:t>
      </w:r>
      <w:r w:rsidR="0015455E" w:rsidRPr="008E1025">
        <w:t>8e</w:t>
      </w:r>
      <w:r w:rsidRPr="008E1025">
        <w:t xml:space="preserve">, </w:t>
      </w:r>
      <w:r w:rsidR="0015455E" w:rsidRPr="008E1025">
        <w:t>June</w:t>
      </w:r>
      <w:r w:rsidRPr="008E1025">
        <w:t xml:space="preserve"> 20</w:t>
      </w:r>
      <w:bookmarkEnd w:id="19"/>
      <w:r w:rsidR="0015455E" w:rsidRPr="008E1025">
        <w:t>20</w:t>
      </w:r>
      <w:r w:rsidR="004D4967" w:rsidRPr="008E1025">
        <w:t>.</w:t>
      </w:r>
      <w:bookmarkEnd w:id="20"/>
      <w:bookmarkEnd w:id="21"/>
      <w:bookmarkEnd w:id="22"/>
    </w:p>
    <w:p w14:paraId="74297A44" w14:textId="3FDF88BF" w:rsidR="00C24DB0" w:rsidRPr="00C24DB0" w:rsidRDefault="00C24DB0" w:rsidP="00C24DB0">
      <w:pPr>
        <w:pStyle w:val="Reference"/>
      </w:pPr>
      <w:bookmarkStart w:id="23" w:name="_Ref84414771"/>
      <w:r>
        <w:t xml:space="preserve">C1-215074, </w:t>
      </w:r>
      <w:r w:rsidR="00CC5876" w:rsidRPr="00CC5876">
        <w:t>LS on extended NAS supervision timers at satellite access</w:t>
      </w:r>
      <w:r>
        <w:t>, Contact Ericsson</w:t>
      </w:r>
      <w:bookmarkEnd w:id="23"/>
    </w:p>
    <w:p w14:paraId="7079278D" w14:textId="4E04BA5A" w:rsidR="007A5B58" w:rsidRPr="00840581" w:rsidRDefault="004F1EAD" w:rsidP="00CE0424">
      <w:pPr>
        <w:pStyle w:val="Reference"/>
      </w:pPr>
      <w:bookmarkStart w:id="24" w:name="_Ref84412140"/>
      <w:r w:rsidRPr="004F1EAD">
        <w:t>R2-</w:t>
      </w:r>
      <w:r w:rsidR="005959FA" w:rsidRPr="004F1EAD">
        <w:t>210</w:t>
      </w:r>
      <w:r w:rsidR="005959FA">
        <w:t>9216</w:t>
      </w:r>
      <w:r>
        <w:t xml:space="preserve">, </w:t>
      </w:r>
      <w:r w:rsidR="00840581" w:rsidRPr="00517A40">
        <w:t xml:space="preserve">Reply LS on UE location aspects in NTN, </w:t>
      </w:r>
      <w:bookmarkEnd w:id="24"/>
      <w:r w:rsidR="00C24DB0">
        <w:t xml:space="preserve">Contact </w:t>
      </w:r>
      <w:r w:rsidR="00C24DB0" w:rsidRPr="00517A40">
        <w:t>QC</w:t>
      </w:r>
    </w:p>
    <w:p w14:paraId="1E3F2E85" w14:textId="5FC1157C" w:rsidR="00840581" w:rsidRPr="008E1025" w:rsidRDefault="00EE074E" w:rsidP="00CE0424">
      <w:pPr>
        <w:pStyle w:val="Reference"/>
      </w:pPr>
      <w:bookmarkStart w:id="25" w:name="_Ref84412142"/>
      <w:r>
        <w:t>R2-210</w:t>
      </w:r>
      <w:r w:rsidR="00874162">
        <w:t>9199</w:t>
      </w:r>
      <w:r>
        <w:t xml:space="preserve">, </w:t>
      </w:r>
      <w:r w:rsidRPr="00EE074E">
        <w:t>LS on NTN specific user consent</w:t>
      </w:r>
      <w:r w:rsidR="005E3D23">
        <w:t xml:space="preserve">, </w:t>
      </w:r>
      <w:bookmarkEnd w:id="25"/>
      <w:r w:rsidR="00C24DB0">
        <w:t xml:space="preserve">Contact </w:t>
      </w:r>
      <w:r w:rsidR="00C24DB0" w:rsidRPr="00517A40">
        <w:t>QC</w:t>
      </w:r>
    </w:p>
    <w:p w14:paraId="14EE88EA" w14:textId="6224B223" w:rsidR="007D05F6" w:rsidRPr="008E1025" w:rsidRDefault="00F55E74" w:rsidP="00502489">
      <w:pPr>
        <w:pStyle w:val="Reference"/>
      </w:pPr>
      <w:r w:rsidRPr="00517A40">
        <w:rPr>
          <w:rFonts w:eastAsia="Microsoft YaHei"/>
          <w:color w:val="000000"/>
        </w:rPr>
        <w:t>R2-2108286</w:t>
      </w:r>
      <w:r w:rsidR="000247F1" w:rsidRPr="00517A40">
        <w:rPr>
          <w:rFonts w:eastAsia="Microsoft YaHei"/>
          <w:color w:val="000000"/>
        </w:rPr>
        <w:t xml:space="preserve">, </w:t>
      </w:r>
      <w:r w:rsidRPr="00517A40">
        <w:rPr>
          <w:rFonts w:eastAsia="Microsoft YaHei"/>
          <w:color w:val="000000"/>
        </w:rPr>
        <w:t>Remaining Issues on SMTC and measurement Gap configuration for NTN</w:t>
      </w:r>
      <w:r w:rsidRPr="00517A40">
        <w:rPr>
          <w:rStyle w:val="apple-tab-span"/>
          <w:rFonts w:eastAsia="Microsoft YaHei"/>
          <w:color w:val="000000"/>
        </w:rPr>
        <w:tab/>
      </w:r>
      <w:r w:rsidRPr="00517A40">
        <w:rPr>
          <w:rFonts w:eastAsia="Microsoft YaHei"/>
          <w:color w:val="000000"/>
        </w:rPr>
        <w:t>CMCC,Ericsson,ZTE Corporation,Huawei,CATT</w:t>
      </w:r>
    </w:p>
    <w:p w14:paraId="37B92162" w14:textId="77777777" w:rsidR="00F8490C" w:rsidRPr="008E1025" w:rsidRDefault="00F8490C" w:rsidP="00F8490C">
      <w:pPr>
        <w:pStyle w:val="Reference"/>
        <w:numPr>
          <w:ilvl w:val="0"/>
          <w:numId w:val="0"/>
        </w:numPr>
        <w:ind w:left="567" w:hanging="567"/>
      </w:pPr>
    </w:p>
    <w:p w14:paraId="68F97C84" w14:textId="162C9903" w:rsidR="00F8490C" w:rsidRDefault="00127D22" w:rsidP="00127D22">
      <w:pPr>
        <w:pStyle w:val="Heading1"/>
        <w:rPr>
          <w:lang w:val="en-US"/>
        </w:rPr>
      </w:pPr>
      <w:r>
        <w:rPr>
          <w:lang w:val="en-US"/>
        </w:rPr>
        <w:t>Appendix</w:t>
      </w:r>
      <w:r w:rsidR="00740325">
        <w:rPr>
          <w:lang w:val="en-US"/>
        </w:rPr>
        <w:t xml:space="preserve"> A</w:t>
      </w:r>
    </w:p>
    <w:p w14:paraId="1F280322" w14:textId="312C26E5" w:rsidR="000B21D6" w:rsidRDefault="000B21D6" w:rsidP="00DD4FDA">
      <w:pPr>
        <w:pStyle w:val="BodyText"/>
        <w:rPr>
          <w:lang w:eastAsia="ja-JP"/>
        </w:rPr>
      </w:pPr>
    </w:p>
    <w:p w14:paraId="05DCFD01" w14:textId="09E2D2BA" w:rsidR="000B21D6" w:rsidRDefault="000B21D6" w:rsidP="00DD4FDA">
      <w:pPr>
        <w:pStyle w:val="BodyText"/>
        <w:rPr>
          <w:lang w:eastAsia="ja-JP"/>
        </w:rPr>
      </w:pPr>
    </w:p>
    <w:p w14:paraId="5EDA031B" w14:textId="6B284CEF" w:rsidR="00740325" w:rsidRDefault="00740325" w:rsidP="000B21D6">
      <w:pPr>
        <w:pStyle w:val="BodyText"/>
        <w:rPr>
          <w:lang w:eastAsia="ja-JP"/>
        </w:rPr>
      </w:pPr>
    </w:p>
    <w:p w14:paraId="50C9204A" w14:textId="77777777" w:rsidR="00740325" w:rsidRDefault="00740325" w:rsidP="00740325">
      <w:pPr>
        <w:pStyle w:val="BodyText"/>
      </w:pPr>
    </w:p>
    <w:p w14:paraId="4EE887A8" w14:textId="77777777" w:rsidR="00740325" w:rsidRPr="008E1025" w:rsidRDefault="00740325" w:rsidP="00740325">
      <w:pPr>
        <w:pStyle w:val="BodyText"/>
      </w:pPr>
      <w:r w:rsidRPr="008E1025">
        <w:t>Agreements related to connected mode from RAN2#102:</w:t>
      </w:r>
    </w:p>
    <w:p w14:paraId="49A90A87" w14:textId="77777777" w:rsidR="00740325" w:rsidRPr="008E1025" w:rsidRDefault="00740325" w:rsidP="00740325">
      <w:pPr>
        <w:pStyle w:val="Comments"/>
      </w:pPr>
    </w:p>
    <w:p w14:paraId="7505B65B" w14:textId="77777777" w:rsidR="00740325" w:rsidRPr="004910FB"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7731AEAD" w14:textId="77777777" w:rsidR="00740325" w:rsidRPr="00480C8B" w:rsidRDefault="00740325" w:rsidP="00234B99">
      <w:pPr>
        <w:pStyle w:val="Doc-comment"/>
        <w:numPr>
          <w:ilvl w:val="0"/>
          <w:numId w:val="15"/>
        </w:numPr>
        <w:pBdr>
          <w:top w:val="single" w:sz="4" w:space="1" w:color="auto"/>
          <w:left w:val="single" w:sz="4" w:space="4" w:color="auto"/>
          <w:bottom w:val="single" w:sz="4" w:space="1" w:color="auto"/>
          <w:right w:val="single" w:sz="4" w:space="4" w:color="auto"/>
        </w:pBdr>
        <w:rPr>
          <w:i w:val="0"/>
        </w:rPr>
      </w:pPr>
      <w:r w:rsidRPr="00480C8B">
        <w:rPr>
          <w:i w:val="0"/>
        </w:rPr>
        <w:t>RAN2 to consider the case where gNB is co-located at the GW with higher priority.</w:t>
      </w:r>
    </w:p>
    <w:p w14:paraId="48071929" w14:textId="77777777" w:rsidR="00740325" w:rsidRPr="00480C8B" w:rsidRDefault="00740325" w:rsidP="00234B99">
      <w:pPr>
        <w:pStyle w:val="Doc-comment"/>
        <w:numPr>
          <w:ilvl w:val="0"/>
          <w:numId w:val="15"/>
        </w:numPr>
        <w:pBdr>
          <w:top w:val="single" w:sz="4" w:space="1" w:color="auto"/>
          <w:left w:val="single" w:sz="4" w:space="4" w:color="auto"/>
          <w:bottom w:val="single" w:sz="4" w:space="1" w:color="auto"/>
          <w:right w:val="single" w:sz="4" w:space="4" w:color="auto"/>
        </w:pBdr>
      </w:pPr>
      <w:r w:rsidRPr="00480C8B">
        <w:rPr>
          <w:i w:val="0"/>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35D0C8A" w14:textId="77777777" w:rsidR="00740325" w:rsidRPr="008E1025" w:rsidRDefault="00740325" w:rsidP="00740325">
      <w:pPr>
        <w:pStyle w:val="Comments"/>
      </w:pPr>
    </w:p>
    <w:p w14:paraId="33B6F163" w14:textId="77777777" w:rsidR="00740325"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C5721FC" w14:textId="77777777" w:rsidR="00740325" w:rsidRPr="00480C8B" w:rsidRDefault="00740325" w:rsidP="00234B99">
      <w:pPr>
        <w:pStyle w:val="Doc-comment"/>
        <w:numPr>
          <w:ilvl w:val="0"/>
          <w:numId w:val="16"/>
        </w:numPr>
        <w:pBdr>
          <w:top w:val="single" w:sz="4" w:space="1" w:color="auto"/>
          <w:left w:val="single" w:sz="4" w:space="4" w:color="auto"/>
          <w:bottom w:val="single" w:sz="4" w:space="1" w:color="auto"/>
          <w:right w:val="single" w:sz="4" w:space="4" w:color="auto"/>
        </w:pBdr>
        <w:rPr>
          <w:i w:val="0"/>
        </w:rPr>
      </w:pPr>
      <w:r w:rsidRPr="00480C8B">
        <w:rPr>
          <w:i w:val="0"/>
        </w:rPr>
        <w:t>Reconfiguration with sync is the baseline for connected mode mobility in NTN (the use of legacy RLF and re-establishment mechanism are not excluded)</w:t>
      </w:r>
    </w:p>
    <w:p w14:paraId="05BF6ACF" w14:textId="77777777" w:rsidR="00740325" w:rsidRPr="00480C8B" w:rsidRDefault="00740325" w:rsidP="00234B99">
      <w:pPr>
        <w:pStyle w:val="Doc-comment"/>
        <w:numPr>
          <w:ilvl w:val="0"/>
          <w:numId w:val="16"/>
        </w:numPr>
        <w:pBdr>
          <w:top w:val="single" w:sz="4" w:space="1" w:color="auto"/>
          <w:left w:val="single" w:sz="4" w:space="4" w:color="auto"/>
          <w:bottom w:val="single" w:sz="4" w:space="1" w:color="auto"/>
          <w:right w:val="single" w:sz="4" w:space="4" w:color="auto"/>
        </w:pBdr>
        <w:rPr>
          <w:i w:val="0"/>
        </w:rPr>
      </w:pPr>
      <w:r w:rsidRPr="00480C8B">
        <w:rPr>
          <w:i w:val="0"/>
        </w:rPr>
        <w:t xml:space="preserve">The CHO can be used in NTN for both moving cell and fixed cell scenarios, and the CHO procedure and execution condition defined in Rel-16 is the baseline for NTN CHO. </w:t>
      </w:r>
    </w:p>
    <w:p w14:paraId="1B714BC3" w14:textId="77777777" w:rsidR="00740325" w:rsidRPr="00DE5190"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3.</w:t>
      </w:r>
      <w:r w:rsidRPr="00DE5190">
        <w:rPr>
          <w:i w:val="0"/>
        </w:rPr>
        <w:tab/>
        <w:t>NTN specific CHO execution condition can be further discussed.</w:t>
      </w:r>
    </w:p>
    <w:p w14:paraId="64743308" w14:textId="77777777" w:rsidR="00740325" w:rsidRPr="00DE5190"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4.</w:t>
      </w:r>
      <w:r w:rsidRPr="00DE5190">
        <w:rPr>
          <w:i w:val="0"/>
        </w:rPr>
        <w:tab/>
        <w:t>The existing measurement framework (e.g. measurement configuration, execution and reporting) is the baseline, and all the existing measurement criteria and event can be used in NTN. Support for new measurement is not excluded.</w:t>
      </w:r>
    </w:p>
    <w:p w14:paraId="58D6A6C7" w14:textId="77777777" w:rsidR="00740325" w:rsidRPr="00EE072D"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DE5190">
        <w:rPr>
          <w:i w:val="0"/>
        </w:rPr>
        <w:t>5.</w:t>
      </w:r>
      <w:r w:rsidRPr="00DE5190">
        <w:rPr>
          <w:i w:val="0"/>
        </w:rPr>
        <w:tab/>
        <w:t xml:space="preserve">Legacy SSB periods (as in </w:t>
      </w:r>
      <w:r w:rsidRPr="00EE072D">
        <w:rPr>
          <w:i w:val="0"/>
        </w:rPr>
        <w:t>TN) shall be supported in NTN</w:t>
      </w:r>
    </w:p>
    <w:p w14:paraId="3DC8F736" w14:textId="77777777" w:rsidR="00740325" w:rsidRPr="008E1025" w:rsidRDefault="00740325" w:rsidP="00740325">
      <w:pPr>
        <w:pStyle w:val="Comments"/>
      </w:pPr>
    </w:p>
    <w:p w14:paraId="61C0A111"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105:</w:t>
      </w:r>
    </w:p>
    <w:p w14:paraId="35EFE9D6"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4FEA765B"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t>DAPS HO for NTN is de-prioritized in this release.</w:t>
      </w:r>
    </w:p>
    <w:p w14:paraId="70CB6310" w14:textId="77777777" w:rsidR="00740325" w:rsidRDefault="00740325" w:rsidP="00740325">
      <w:pPr>
        <w:pStyle w:val="Doc-text2"/>
      </w:pPr>
    </w:p>
    <w:p w14:paraId="45A44D21"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4B2FCF9E" w14:textId="77777777" w:rsidR="00740325" w:rsidRDefault="00740325" w:rsidP="00234B99">
      <w:pPr>
        <w:pStyle w:val="Doc-text2"/>
        <w:numPr>
          <w:ilvl w:val="0"/>
          <w:numId w:val="17"/>
        </w:numPr>
        <w:pBdr>
          <w:top w:val="single" w:sz="4" w:space="1" w:color="auto"/>
          <w:left w:val="single" w:sz="4" w:space="4" w:color="auto"/>
          <w:bottom w:val="single" w:sz="4" w:space="1" w:color="auto"/>
          <w:right w:val="single" w:sz="4" w:space="4" w:color="auto"/>
        </w:pBdr>
      </w:pPr>
      <w:r w:rsidRPr="007A1536">
        <w:t>The Location-based measurement event, in combination with the existing measurement event in NR, should be supported in NTN for both moving cell and fixed cell scenarios. FFS on how to configure the location based measurement event.</w:t>
      </w:r>
    </w:p>
    <w:p w14:paraId="043CB812" w14:textId="77777777" w:rsidR="00740325" w:rsidRPr="008E1025" w:rsidRDefault="00740325" w:rsidP="00740325">
      <w:pPr>
        <w:pStyle w:val="Comments"/>
      </w:pPr>
    </w:p>
    <w:p w14:paraId="286E2B96"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106:</w:t>
      </w:r>
    </w:p>
    <w:p w14:paraId="258AD0F1" w14:textId="77777777" w:rsidR="00740325" w:rsidRDefault="00740325" w:rsidP="00234B99">
      <w:pPr>
        <w:pStyle w:val="Doc-text2"/>
        <w:numPr>
          <w:ilvl w:val="0"/>
          <w:numId w:val="18"/>
        </w:numPr>
        <w:pBdr>
          <w:top w:val="single" w:sz="4" w:space="1" w:color="auto"/>
          <w:left w:val="single" w:sz="4" w:space="4" w:color="auto"/>
          <w:bottom w:val="single" w:sz="4" w:space="1" w:color="auto"/>
          <w:right w:val="single" w:sz="4" w:space="4" w:color="auto"/>
        </w:pBdr>
      </w:pPr>
      <w:r w:rsidRPr="00EF3A3A">
        <w:t xml:space="preserve">RAN2 understanding that UE shall not be forced to detect the SSB burst outside the corresponding configured SMTC window in NTN, just </w:t>
      </w:r>
      <w:r>
        <w:t>like the principle in TN.</w:t>
      </w:r>
    </w:p>
    <w:p w14:paraId="597E70E9" w14:textId="77777777" w:rsidR="00740325" w:rsidRPr="008E1025" w:rsidRDefault="00740325" w:rsidP="00740325">
      <w:pPr>
        <w:pStyle w:val="Comments"/>
      </w:pPr>
    </w:p>
    <w:p w14:paraId="62BE7FCC"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41399731"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SMTC and gap configuration in NTN are configured base</w:t>
      </w:r>
      <w:r>
        <w:t>d on the timing of PCell</w:t>
      </w:r>
    </w:p>
    <w:p w14:paraId="596A03B9"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RAN2 can first identify the scenarios and discuss how serious the impact is before addressing any enhancement for SMTC configuration in NTN.</w:t>
      </w:r>
    </w:p>
    <w:p w14:paraId="531DB0A4"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RAN2 can’t assume that the network will always have UE accurate location info for SMTC win</w:t>
      </w:r>
      <w:r>
        <w:t>dow configuration in NTN</w:t>
      </w:r>
    </w:p>
    <w:p w14:paraId="350E54A7" w14:textId="77777777" w:rsidR="00740325" w:rsidRDefault="00740325" w:rsidP="00234B99">
      <w:pPr>
        <w:pStyle w:val="Doc-text2"/>
        <w:numPr>
          <w:ilvl w:val="0"/>
          <w:numId w:val="19"/>
        </w:numPr>
        <w:pBdr>
          <w:top w:val="single" w:sz="4" w:space="1" w:color="auto"/>
          <w:left w:val="single" w:sz="4" w:space="4" w:color="auto"/>
          <w:bottom w:val="single" w:sz="4" w:space="1" w:color="auto"/>
          <w:right w:val="single" w:sz="4" w:space="4" w:color="auto"/>
        </w:pBdr>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01D252AE" w14:textId="77777777" w:rsidR="00740325" w:rsidRPr="008E1025" w:rsidRDefault="00740325" w:rsidP="00740325">
      <w:pPr>
        <w:pStyle w:val="Comments"/>
      </w:pPr>
    </w:p>
    <w:p w14:paraId="7CBA7FAD" w14:textId="5AA34335" w:rsidR="00740325" w:rsidRPr="000D1F6D" w:rsidRDefault="00740325" w:rsidP="00740325">
      <w:pPr>
        <w:pStyle w:val="BodyText"/>
      </w:pPr>
      <w:r w:rsidRPr="00674E62">
        <w:t>RAN2#113</w:t>
      </w:r>
      <w:r>
        <w:t xml:space="preserve"> agreements:</w:t>
      </w:r>
    </w:p>
    <w:p w14:paraId="19C0FEF9" w14:textId="77777777" w:rsidR="00740325" w:rsidRDefault="00740325" w:rsidP="00740325">
      <w:pPr>
        <w:pStyle w:val="Doc-text2"/>
      </w:pPr>
    </w:p>
    <w:p w14:paraId="1C0248E3"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1EB2E94F" w14:textId="77777777" w:rsidR="00740325" w:rsidRDefault="00740325" w:rsidP="00234B99">
      <w:pPr>
        <w:pStyle w:val="Doc-text2"/>
        <w:numPr>
          <w:ilvl w:val="0"/>
          <w:numId w:val="20"/>
        </w:numPr>
        <w:pBdr>
          <w:top w:val="single" w:sz="4" w:space="1" w:color="auto"/>
          <w:left w:val="single" w:sz="4" w:space="4" w:color="auto"/>
          <w:bottom w:val="single" w:sz="4" w:space="1" w:color="auto"/>
          <w:right w:val="single" w:sz="4" w:space="4" w:color="auto"/>
        </w:pBdr>
      </w:pPr>
      <w:r>
        <w:t>S</w:t>
      </w:r>
      <w:r w:rsidRPr="006162AA">
        <w:t>upport A4 event for NTN CHO. FFS whe</w:t>
      </w:r>
      <w:r>
        <w:t>ther other triggers need to be</w:t>
      </w:r>
      <w:r w:rsidRPr="006162AA">
        <w:t xml:space="preserve"> co</w:t>
      </w:r>
      <w:r>
        <w:t>m</w:t>
      </w:r>
      <w:r w:rsidRPr="006162AA">
        <w:t>bined with this.</w:t>
      </w:r>
    </w:p>
    <w:p w14:paraId="50AD420E" w14:textId="77777777" w:rsidR="00740325" w:rsidRPr="00AB6C47" w:rsidRDefault="00740325" w:rsidP="00740325">
      <w:pPr>
        <w:pStyle w:val="Doc-text2"/>
      </w:pPr>
    </w:p>
    <w:p w14:paraId="21CC026E" w14:textId="4075FB21" w:rsidR="00740325" w:rsidRPr="008E1025" w:rsidRDefault="00740325" w:rsidP="00740325">
      <w:pPr>
        <w:spacing w:before="240"/>
        <w:jc w:val="both"/>
        <w:rPr>
          <w:rFonts w:ascii="Arial" w:eastAsia="Malgun Gothic" w:hAnsi="Arial" w:cs="Arial"/>
        </w:rPr>
      </w:pPr>
      <w:r w:rsidRPr="008E1025">
        <w:rPr>
          <w:rFonts w:ascii="Arial" w:eastAsia="Malgun Gothic" w:hAnsi="Arial" w:cs="Arial"/>
        </w:rPr>
        <w:t>RAN2#113bis agreements:</w:t>
      </w:r>
    </w:p>
    <w:p w14:paraId="2A860CA8"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Agreements:</w:t>
      </w:r>
    </w:p>
    <w:p w14:paraId="73A04293"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6626EE6C"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7E958A29"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57FCC7BB" w14:textId="77777777" w:rsidR="009E565A" w:rsidRPr="008E1025" w:rsidRDefault="009E565A" w:rsidP="009E565A">
      <w:pPr>
        <w:pStyle w:val="Comments"/>
      </w:pPr>
    </w:p>
    <w:p w14:paraId="17872754" w14:textId="77777777" w:rsidR="009E565A" w:rsidRDefault="009E565A" w:rsidP="009E565A">
      <w:pPr>
        <w:pStyle w:val="Doc-text2"/>
        <w:pBdr>
          <w:top w:val="single" w:sz="4" w:space="1" w:color="auto"/>
          <w:left w:val="single" w:sz="4" w:space="4" w:color="auto"/>
          <w:bottom w:val="single" w:sz="4" w:space="1" w:color="auto"/>
          <w:right w:val="single" w:sz="4" w:space="4" w:color="auto"/>
        </w:pBdr>
      </w:pPr>
      <w:r>
        <w:t>Agreements:</w:t>
      </w:r>
    </w:p>
    <w:p w14:paraId="36FC858D"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109C495E"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56B75824"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Enhancements of the SMTC configuration is supported for Rel-17 NTN.</w:t>
      </w:r>
    </w:p>
    <w:p w14:paraId="52BD315F" w14:textId="77777777" w:rsidR="009E565A" w:rsidRDefault="009E565A" w:rsidP="00234B99">
      <w:pPr>
        <w:pStyle w:val="Doc-text2"/>
        <w:numPr>
          <w:ilvl w:val="0"/>
          <w:numId w:val="21"/>
        </w:numPr>
        <w:pBdr>
          <w:top w:val="single" w:sz="4" w:space="1" w:color="auto"/>
          <w:left w:val="single" w:sz="4" w:space="4" w:color="auto"/>
          <w:bottom w:val="single" w:sz="4" w:space="1" w:color="auto"/>
          <w:right w:val="single" w:sz="4" w:space="4" w:color="auto"/>
        </w:pBdr>
      </w:pPr>
      <w:r>
        <w:t>Optional new UE assistance is defined in Rel-17 NTN for network to properly (re)configure the SMTC and/or measurement gap</w:t>
      </w:r>
    </w:p>
    <w:p w14:paraId="3F1BF09D" w14:textId="77777777" w:rsidR="009E565A" w:rsidRPr="008E1025" w:rsidRDefault="009E565A" w:rsidP="009E565A">
      <w:pPr>
        <w:pStyle w:val="Comments"/>
      </w:pPr>
    </w:p>
    <w:p w14:paraId="72A2D58A" w14:textId="77777777" w:rsidR="009718AA" w:rsidRPr="008E1025" w:rsidRDefault="009718AA" w:rsidP="009718AA">
      <w:pPr>
        <w:pStyle w:val="Comments"/>
      </w:pPr>
    </w:p>
    <w:p w14:paraId="6BE6F136"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15C09BFB"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192CAD4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62011087"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5DE3F5AA"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0D5466C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79F8C3D3"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577D716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02758BD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72835D45"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349E24EB"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14:paraId="31FB17B9" w14:textId="77777777" w:rsidR="009718AA" w:rsidRDefault="009718AA" w:rsidP="00234B99">
      <w:pPr>
        <w:pStyle w:val="Doc-text2"/>
        <w:numPr>
          <w:ilvl w:val="0"/>
          <w:numId w:val="22"/>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14:paraId="08C9F192" w14:textId="77777777" w:rsidR="009718AA" w:rsidRDefault="009718AA" w:rsidP="009718AA">
      <w:pPr>
        <w:pStyle w:val="Doc-text2"/>
      </w:pPr>
    </w:p>
    <w:p w14:paraId="678007AB" w14:textId="77777777" w:rsidR="00D24FAB" w:rsidRDefault="00D24FAB" w:rsidP="00D24FAB">
      <w:pPr>
        <w:pStyle w:val="Doc-text2"/>
      </w:pPr>
    </w:p>
    <w:p w14:paraId="35B32B06" w14:textId="77777777" w:rsidR="00D24FAB" w:rsidRDefault="00D24FAB" w:rsidP="00D24FAB">
      <w:pPr>
        <w:pStyle w:val="Doc-text2"/>
        <w:pBdr>
          <w:top w:val="single" w:sz="4" w:space="1" w:color="auto"/>
          <w:left w:val="single" w:sz="4" w:space="4" w:color="auto"/>
          <w:bottom w:val="single" w:sz="4" w:space="1" w:color="auto"/>
          <w:right w:val="single" w:sz="4" w:space="4" w:color="auto"/>
        </w:pBdr>
      </w:pPr>
      <w:r>
        <w:t>Agreements online:</w:t>
      </w:r>
    </w:p>
    <w:p w14:paraId="35866158" w14:textId="77777777" w:rsidR="00D24FAB" w:rsidRDefault="00D24FAB" w:rsidP="00234B99">
      <w:pPr>
        <w:pStyle w:val="Doc-text2"/>
        <w:numPr>
          <w:ilvl w:val="0"/>
          <w:numId w:val="23"/>
        </w:numPr>
        <w:pBdr>
          <w:top w:val="single" w:sz="4" w:space="1" w:color="auto"/>
          <w:left w:val="single" w:sz="4" w:space="4" w:color="auto"/>
          <w:bottom w:val="single" w:sz="4" w:space="1" w:color="auto"/>
          <w:right w:val="single" w:sz="4" w:space="4" w:color="auto"/>
        </w:pBdr>
      </w:pPr>
      <w:r>
        <w:t>Measurement gaps enhancements should be supported. FFS on the details</w:t>
      </w:r>
    </w:p>
    <w:p w14:paraId="49E23A6F" w14:textId="77777777" w:rsidR="00740325" w:rsidRDefault="00740325" w:rsidP="00740325">
      <w:pPr>
        <w:spacing w:before="240"/>
        <w:jc w:val="both"/>
        <w:rPr>
          <w:rFonts w:ascii="Arial" w:eastAsia="Malgun Gothic" w:hAnsi="Arial" w:cs="Arial"/>
        </w:rPr>
      </w:pPr>
    </w:p>
    <w:p w14:paraId="041C67DC" w14:textId="77777777" w:rsidR="00740325" w:rsidRDefault="00740325" w:rsidP="000B21D6">
      <w:pPr>
        <w:pStyle w:val="BodyText"/>
        <w:rPr>
          <w:lang w:eastAsia="ja-JP"/>
        </w:rPr>
      </w:pPr>
    </w:p>
    <w:p w14:paraId="3AF0FDA4" w14:textId="77777777" w:rsidR="009006BA" w:rsidRPr="00F771F4" w:rsidRDefault="009006BA" w:rsidP="009006BA">
      <w:pPr>
        <w:spacing w:before="240"/>
        <w:jc w:val="both"/>
        <w:rPr>
          <w:rFonts w:ascii="Arial" w:eastAsia="Malgun Gothic" w:hAnsi="Arial" w:cs="Arial"/>
        </w:rPr>
      </w:pPr>
      <w:r w:rsidRPr="00F771F4">
        <w:rPr>
          <w:rFonts w:ascii="Arial" w:eastAsia="Malgun Gothic" w:hAnsi="Arial" w:cs="Arial"/>
        </w:rPr>
        <w:t>RAN2#114 agreements for connected mode are as follows and the list of all connected mode agreements can be found in Appendix B.</w:t>
      </w:r>
    </w:p>
    <w:p w14:paraId="4A3F49D4" w14:textId="77777777" w:rsidR="009006BA" w:rsidRPr="00017039" w:rsidRDefault="009006BA" w:rsidP="009006BA">
      <w:pPr>
        <w:pStyle w:val="Doc-text2"/>
        <w:pBdr>
          <w:top w:val="single" w:sz="4" w:space="1" w:color="auto"/>
          <w:left w:val="single" w:sz="4" w:space="4" w:color="auto"/>
          <w:bottom w:val="single" w:sz="4" w:space="1" w:color="auto"/>
          <w:right w:val="single" w:sz="4" w:space="4" w:color="auto"/>
        </w:pBdr>
      </w:pPr>
      <w:r w:rsidRPr="00017039">
        <w:t>Agreements via email (from offline 104):</w:t>
      </w:r>
    </w:p>
    <w:p w14:paraId="79002E44" w14:textId="77777777" w:rsidR="009006BA" w:rsidRPr="00017039" w:rsidRDefault="009006BA" w:rsidP="00234B99">
      <w:pPr>
        <w:pStyle w:val="Doc-text2"/>
        <w:numPr>
          <w:ilvl w:val="0"/>
          <w:numId w:val="24"/>
        </w:numPr>
        <w:pBdr>
          <w:top w:val="single" w:sz="4" w:space="1" w:color="auto"/>
          <w:left w:val="single" w:sz="4" w:space="4" w:color="auto"/>
          <w:bottom w:val="single" w:sz="4" w:space="1" w:color="auto"/>
          <w:right w:val="single" w:sz="4" w:space="4" w:color="auto"/>
        </w:pBdr>
      </w:pPr>
      <w:r w:rsidRPr="00017039">
        <w:t>Support CHO location trigger as the distance between UE and a reference location which may be configured as the serving cell reference location or the candidate target cell reference location. FFS if combination can be allowed.</w:t>
      </w:r>
    </w:p>
    <w:p w14:paraId="16FBE842" w14:textId="77777777" w:rsidR="009006BA" w:rsidRPr="00017039" w:rsidRDefault="009006BA" w:rsidP="00234B99">
      <w:pPr>
        <w:pStyle w:val="Doc-text2"/>
        <w:numPr>
          <w:ilvl w:val="0"/>
          <w:numId w:val="24"/>
        </w:numPr>
        <w:pBdr>
          <w:top w:val="single" w:sz="4" w:space="1" w:color="auto"/>
          <w:left w:val="single" w:sz="4" w:space="4" w:color="auto"/>
          <w:bottom w:val="single" w:sz="4" w:space="1" w:color="auto"/>
          <w:right w:val="single" w:sz="4" w:space="4" w:color="auto"/>
        </w:pBdr>
      </w:pPr>
      <w:r w:rsidRPr="00017039">
        <w:t>The reference location for the event description is defined as cell center.</w:t>
      </w:r>
    </w:p>
    <w:p w14:paraId="5909E1B3" w14:textId="77777777" w:rsidR="009006BA" w:rsidRPr="00966540" w:rsidRDefault="009006BA" w:rsidP="009006BA">
      <w:pPr>
        <w:pStyle w:val="Comments"/>
      </w:pPr>
    </w:p>
    <w:p w14:paraId="6B2472EE"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online:</w:t>
      </w:r>
    </w:p>
    <w:p w14:paraId="705A0BAB" w14:textId="77777777" w:rsidR="009006BA" w:rsidRPr="007F443E" w:rsidRDefault="009006BA" w:rsidP="00234B99">
      <w:pPr>
        <w:numPr>
          <w:ilvl w:val="0"/>
          <w:numId w:val="25"/>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For CHO, joint configuration of location and RSRP as well as time and RSRP triggers are supported.</w:t>
      </w:r>
    </w:p>
    <w:p w14:paraId="497E9F06" w14:textId="77777777" w:rsidR="009006BA" w:rsidRPr="007F443E" w:rsidRDefault="009006BA" w:rsidP="00234B99">
      <w:pPr>
        <w:numPr>
          <w:ilvl w:val="0"/>
          <w:numId w:val="25"/>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For idle mode reselection, based on configuration NTN UE can prioritise TN over NTN. Configuration details FFS</w:t>
      </w:r>
    </w:p>
    <w:p w14:paraId="19A7856B" w14:textId="77777777" w:rsidR="009006BA" w:rsidRDefault="009006BA" w:rsidP="009006BA">
      <w:pPr>
        <w:pStyle w:val="Comments"/>
      </w:pPr>
    </w:p>
    <w:p w14:paraId="4AB62459"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via email (from offline 104 - second round):</w:t>
      </w:r>
    </w:p>
    <w:p w14:paraId="489D594D" w14:textId="77777777" w:rsidR="009006BA" w:rsidRPr="007F443E" w:rsidRDefault="009006BA" w:rsidP="00234B99">
      <w:pPr>
        <w:numPr>
          <w:ilvl w:val="0"/>
          <w:numId w:val="26"/>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5777B92F" w14:textId="77777777" w:rsidR="009006BA" w:rsidRPr="007F443E" w:rsidRDefault="009006BA" w:rsidP="00234B99">
      <w:pPr>
        <w:numPr>
          <w:ilvl w:val="0"/>
          <w:numId w:val="26"/>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Same CHO trigger conditions and RRM events can be used within NTN and NTN-TN mobility provided these are supported by the UE. NTN-TN means both “from NTN to TN (hand-in)” and “from NTN to TN (hand-in) and from TN to NTN (hand-out)". FFS for enhancements.</w:t>
      </w:r>
    </w:p>
    <w:p w14:paraId="27083497" w14:textId="77777777" w:rsidR="009006BA" w:rsidRDefault="009006BA" w:rsidP="009006BA">
      <w:pPr>
        <w:pStyle w:val="Comments"/>
      </w:pPr>
    </w:p>
    <w:p w14:paraId="00D649A5"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via email (from offline 108):</w:t>
      </w:r>
    </w:p>
    <w:p w14:paraId="37D3E8AD" w14:textId="77777777" w:rsidR="009006BA" w:rsidRPr="007F443E" w:rsidRDefault="009006BA" w:rsidP="00234B99">
      <w:pPr>
        <w:numPr>
          <w:ilvl w:val="0"/>
          <w:numId w:val="27"/>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will work on a solution to ensure that the CGI constructed by NG-RAN corresponds to a fixed geographical area with a size comparable with a cell for TN including connected mode and initial access.</w:t>
      </w:r>
    </w:p>
    <w:p w14:paraId="5792155B" w14:textId="77777777" w:rsidR="009006BA" w:rsidRPr="00966540" w:rsidRDefault="009006BA" w:rsidP="009006BA">
      <w:pPr>
        <w:spacing w:before="240"/>
        <w:jc w:val="both"/>
        <w:rPr>
          <w:rFonts w:ascii="Arial" w:eastAsia="Malgun Gothic" w:hAnsi="Arial" w:cs="Arial"/>
        </w:rPr>
      </w:pPr>
    </w:p>
    <w:p w14:paraId="1A4A2791"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online:</w:t>
      </w:r>
    </w:p>
    <w:p w14:paraId="29DCA18C" w14:textId="77777777" w:rsidR="009006BA" w:rsidRPr="007F443E" w:rsidRDefault="009006BA" w:rsidP="00234B99">
      <w:pPr>
        <w:numPr>
          <w:ilvl w:val="0"/>
          <w:numId w:val="28"/>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Working Assumption: RAN2 doesn’t need to do anything to ensure that final UE location information at the core network is trustable so far (it's other WGs business to define solutions to verify the UE location)</w:t>
      </w:r>
    </w:p>
    <w:p w14:paraId="102E305C" w14:textId="77777777" w:rsidR="009006BA" w:rsidRPr="00966540" w:rsidRDefault="009006BA" w:rsidP="009006BA">
      <w:pPr>
        <w:spacing w:before="240"/>
        <w:jc w:val="both"/>
        <w:rPr>
          <w:rFonts w:ascii="Arial" w:eastAsia="Malgun Gothic" w:hAnsi="Arial" w:cs="Arial"/>
        </w:rPr>
      </w:pPr>
    </w:p>
    <w:p w14:paraId="5701EB40" w14:textId="77777777" w:rsidR="009006BA" w:rsidRPr="007F443E" w:rsidRDefault="009006BA" w:rsidP="009006B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x-none" w:eastAsia="x-none"/>
        </w:rPr>
      </w:pPr>
      <w:r w:rsidRPr="007F443E">
        <w:rPr>
          <w:rFonts w:ascii="Arial" w:eastAsia="MS Mincho" w:hAnsi="Arial"/>
          <w:lang w:val="x-none" w:eastAsia="x-none"/>
        </w:rPr>
        <w:t>Agreements via email (from offline 108 - second round)</w:t>
      </w:r>
    </w:p>
    <w:p w14:paraId="7FAAC811" w14:textId="77777777" w:rsidR="009006BA" w:rsidRPr="007F443E" w:rsidRDefault="009006BA" w:rsidP="00234B99">
      <w:pPr>
        <w:numPr>
          <w:ilvl w:val="0"/>
          <w:numId w:val="29"/>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RAN2 will work on a solution to ensure that the CGI constructed by NG-RAN can correspond to a fixed geographical area comparable with a TN cell with a radius of ~2km or more.</w:t>
      </w:r>
    </w:p>
    <w:p w14:paraId="55CA41DD" w14:textId="77777777" w:rsidR="009006BA" w:rsidRPr="007F443E" w:rsidRDefault="009006BA" w:rsidP="00234B99">
      <w:pPr>
        <w:numPr>
          <w:ilvl w:val="0"/>
          <w:numId w:val="29"/>
        </w:numPr>
        <w:pBdr>
          <w:top w:val="single" w:sz="4" w:space="1" w:color="auto"/>
          <w:left w:val="single" w:sz="4" w:space="4" w:color="auto"/>
          <w:bottom w:val="single" w:sz="4" w:space="1" w:color="auto"/>
          <w:right w:val="single" w:sz="4" w:space="4" w:color="auto"/>
        </w:pBdr>
        <w:tabs>
          <w:tab w:val="left" w:pos="1622"/>
        </w:tabs>
        <w:rPr>
          <w:rFonts w:ascii="Arial" w:eastAsia="MS Mincho" w:hAnsi="Arial"/>
          <w:lang w:val="x-none" w:eastAsia="x-none"/>
        </w:rPr>
      </w:pPr>
      <w:r w:rsidRPr="007F443E">
        <w:rPr>
          <w:rFonts w:ascii="Arial" w:eastAsia="MS Mincho" w:hAnsi="Arial"/>
          <w:lang w:val="x-none" w:eastAsia="x-none"/>
        </w:rPr>
        <w:t>Send an LS to RAN3, SA2, SA3 and SA3-LI to inform them of RAN2 decision and check whether it's consistent with their requirements</w:t>
      </w:r>
    </w:p>
    <w:p w14:paraId="4B4DA7B5" w14:textId="77777777" w:rsidR="009006BA" w:rsidRPr="00517A40" w:rsidRDefault="009006BA" w:rsidP="009006BA">
      <w:pPr>
        <w:pStyle w:val="Comments"/>
      </w:pPr>
    </w:p>
    <w:p w14:paraId="7D279E38" w14:textId="77777777" w:rsidR="009006BA" w:rsidRDefault="009006BA" w:rsidP="009006BA">
      <w:pPr>
        <w:pStyle w:val="BodyText"/>
      </w:pPr>
    </w:p>
    <w:p w14:paraId="73EDD7E1" w14:textId="77777777" w:rsidR="009006BA" w:rsidRDefault="009006BA" w:rsidP="009006BA">
      <w:pPr>
        <w:pStyle w:val="BodyText"/>
      </w:pPr>
    </w:p>
    <w:p w14:paraId="067FD797" w14:textId="77777777" w:rsidR="009006BA" w:rsidRDefault="009006BA" w:rsidP="009006BA">
      <w:pPr>
        <w:pStyle w:val="BodyText"/>
      </w:pPr>
      <w:r>
        <w:t>Agreements from RAN2#115:</w:t>
      </w:r>
    </w:p>
    <w:p w14:paraId="717E7147" w14:textId="77777777" w:rsidR="009006BA" w:rsidRPr="00517A40" w:rsidRDefault="009006BA" w:rsidP="009006BA">
      <w:pPr>
        <w:pStyle w:val="Comments"/>
      </w:pPr>
    </w:p>
    <w:p w14:paraId="1ACC9E31" w14:textId="77777777" w:rsidR="009006BA" w:rsidRPr="00517A40" w:rsidRDefault="009006BA" w:rsidP="009006BA">
      <w:pPr>
        <w:pStyle w:val="Comments"/>
      </w:pPr>
    </w:p>
    <w:p w14:paraId="20851124"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rsidRPr="00EE7921">
        <w:rPr>
          <w:highlight w:val="green"/>
        </w:rPr>
        <w:t>Working Assumptions:</w:t>
      </w:r>
    </w:p>
    <w:p w14:paraId="2BEF44A8" w14:textId="77777777" w:rsidR="00DE5190" w:rsidRDefault="00DE5190" w:rsidP="00DE5190">
      <w:pPr>
        <w:pStyle w:val="Doc-text2"/>
        <w:numPr>
          <w:ilvl w:val="0"/>
          <w:numId w:val="39"/>
        </w:numPr>
        <w:pBdr>
          <w:top w:val="single" w:sz="4" w:space="1" w:color="auto"/>
          <w:left w:val="single" w:sz="4" w:space="4" w:color="auto"/>
          <w:bottom w:val="single" w:sz="4" w:space="1" w:color="auto"/>
          <w:right w:val="single" w:sz="4" w:space="4" w:color="auto"/>
        </w:pBdr>
      </w:pPr>
      <w:r>
        <w:t>Combination of serving and target cell reference location is supported for location report trigger event and for CHO location trigger</w:t>
      </w:r>
    </w:p>
    <w:p w14:paraId="1529ABD0" w14:textId="77777777" w:rsidR="00DE5190" w:rsidRDefault="00DE5190" w:rsidP="00DE5190">
      <w:pPr>
        <w:pStyle w:val="Doc-text2"/>
        <w:numPr>
          <w:ilvl w:val="0"/>
          <w:numId w:val="39"/>
        </w:numPr>
        <w:pBdr>
          <w:top w:val="single" w:sz="4" w:space="1" w:color="auto"/>
          <w:left w:val="single" w:sz="4" w:space="4" w:color="auto"/>
          <w:bottom w:val="single" w:sz="4" w:space="1" w:color="auto"/>
          <w:right w:val="single" w:sz="4" w:space="4" w:color="auto"/>
        </w:pBdr>
      </w:pPr>
      <w:r>
        <w:t>Specify that measurement reports can be configured to be piggybacked with location report when location based event triggers it</w:t>
      </w:r>
    </w:p>
    <w:p w14:paraId="7AB108AD" w14:textId="77777777" w:rsidR="00DE5190" w:rsidRDefault="00DE5190" w:rsidP="00DE5190">
      <w:pPr>
        <w:pStyle w:val="Doc-text2"/>
        <w:pBdr>
          <w:top w:val="single" w:sz="4" w:space="1" w:color="auto"/>
          <w:left w:val="single" w:sz="4" w:space="4" w:color="auto"/>
          <w:bottom w:val="single" w:sz="4" w:space="1" w:color="auto"/>
          <w:right w:val="single" w:sz="4" w:space="4" w:color="auto"/>
        </w:pBdr>
        <w:ind w:left="1259" w:firstLine="0"/>
      </w:pPr>
      <w:r w:rsidRPr="00EE7921">
        <w:rPr>
          <w:highlight w:val="green"/>
        </w:rPr>
        <w:t>Agreements via email - from offline 103:</w:t>
      </w:r>
    </w:p>
    <w:p w14:paraId="74A6C4F0" w14:textId="77777777" w:rsidR="00DE5190" w:rsidRDefault="00DE5190" w:rsidP="00DE5190">
      <w:pPr>
        <w:pStyle w:val="Doc-text2"/>
        <w:numPr>
          <w:ilvl w:val="0"/>
          <w:numId w:val="40"/>
        </w:numPr>
        <w:pBdr>
          <w:top w:val="single" w:sz="4" w:space="1" w:color="auto"/>
          <w:left w:val="single" w:sz="4" w:space="4" w:color="auto"/>
          <w:bottom w:val="single" w:sz="4" w:space="1" w:color="auto"/>
          <w:right w:val="single" w:sz="4" w:space="4" w:color="auto"/>
        </w:pBdr>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p>
    <w:p w14:paraId="3CDE2133"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FFS other options</w:t>
      </w:r>
    </w:p>
    <w:p w14:paraId="30AC7EAA" w14:textId="77777777" w:rsidR="00DE5190" w:rsidRDefault="00DE5190" w:rsidP="00DE5190">
      <w:pPr>
        <w:pStyle w:val="Doc-text2"/>
        <w:numPr>
          <w:ilvl w:val="0"/>
          <w:numId w:val="40"/>
        </w:numPr>
        <w:pBdr>
          <w:top w:val="single" w:sz="4" w:space="1" w:color="auto"/>
          <w:left w:val="single" w:sz="4" w:space="4" w:color="auto"/>
          <w:bottom w:val="single" w:sz="4" w:space="1" w:color="auto"/>
          <w:right w:val="single" w:sz="4" w:space="4" w:color="auto"/>
        </w:pBdr>
      </w:pPr>
      <w:r>
        <w:t>Specify hysteresis and time to trigger for the location event for RRM and CHO</w:t>
      </w:r>
    </w:p>
    <w:p w14:paraId="64841121" w14:textId="77777777" w:rsidR="00DE5190" w:rsidRDefault="00DE5190" w:rsidP="00DE5190">
      <w:pPr>
        <w:pStyle w:val="Doc-text2"/>
        <w:numPr>
          <w:ilvl w:val="0"/>
          <w:numId w:val="40"/>
        </w:numPr>
        <w:pBdr>
          <w:top w:val="single" w:sz="4" w:space="1" w:color="auto"/>
          <w:left w:val="single" w:sz="4" w:space="4" w:color="auto"/>
          <w:bottom w:val="single" w:sz="4" w:space="1" w:color="auto"/>
          <w:right w:val="single" w:sz="4" w:space="4" w:color="auto"/>
        </w:pBdr>
      </w:pPr>
      <w:r>
        <w:t>Timing information from RRCReconfiguration message in RRC running CR is removed</w:t>
      </w:r>
    </w:p>
    <w:p w14:paraId="399202DE" w14:textId="77777777" w:rsidR="00DE5190" w:rsidRDefault="00DE5190" w:rsidP="00DE5190">
      <w:pPr>
        <w:pStyle w:val="Doc-text2"/>
        <w:numPr>
          <w:ilvl w:val="0"/>
          <w:numId w:val="40"/>
        </w:numPr>
        <w:pBdr>
          <w:top w:val="single" w:sz="4" w:space="1" w:color="auto"/>
          <w:left w:val="single" w:sz="4" w:space="4" w:color="auto"/>
          <w:bottom w:val="single" w:sz="4" w:space="1" w:color="auto"/>
          <w:right w:val="single" w:sz="4" w:space="4" w:color="auto"/>
        </w:pBdr>
      </w:pPr>
      <w:r>
        <w:t>UE is allowed to perform HO only during T1 to T2</w:t>
      </w:r>
    </w:p>
    <w:p w14:paraId="3184DD5C" w14:textId="77777777" w:rsidR="00DE5190" w:rsidRDefault="00DE5190" w:rsidP="00DE5190">
      <w:pPr>
        <w:pStyle w:val="Doc-text2"/>
        <w:numPr>
          <w:ilvl w:val="0"/>
          <w:numId w:val="40"/>
        </w:numPr>
        <w:pBdr>
          <w:top w:val="single" w:sz="4" w:space="1" w:color="auto"/>
          <w:left w:val="single" w:sz="4" w:space="4" w:color="auto"/>
          <w:bottom w:val="single" w:sz="4" w:space="1" w:color="auto"/>
          <w:right w:val="single" w:sz="4" w:space="4" w:color="auto"/>
        </w:pBdr>
      </w:pPr>
      <w:r>
        <w:t>Agree to limit to A or B and continue discussion between options A and B</w:t>
      </w:r>
    </w:p>
    <w:p w14:paraId="512CDCAD"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Option A: UTC time + duration/timer, e.g. 00:00:01 + 40s</w:t>
      </w:r>
    </w:p>
    <w:p w14:paraId="411AB2E9"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b/>
        <w:t>Option B: Two UTC time to indicate the start (T1) and end time (T2) of the candidate cell, e.g. 00:00:01 + 00:00:41</w:t>
      </w:r>
    </w:p>
    <w:p w14:paraId="384E7B39" w14:textId="77777777" w:rsidR="00DE5190" w:rsidRDefault="00DE5190" w:rsidP="00DE5190">
      <w:pPr>
        <w:pStyle w:val="Comments"/>
      </w:pPr>
    </w:p>
    <w:p w14:paraId="52133D4E" w14:textId="77777777" w:rsidR="00DE5190" w:rsidRDefault="00DE5190" w:rsidP="00DE5190">
      <w:pPr>
        <w:pStyle w:val="Comments"/>
      </w:pPr>
    </w:p>
    <w:p w14:paraId="6682F0B7"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 via email - from offline 103 second round:</w:t>
      </w:r>
    </w:p>
    <w:p w14:paraId="485991E5" w14:textId="77777777" w:rsidR="00DE5190" w:rsidRDefault="00DE5190" w:rsidP="00705FC3">
      <w:pPr>
        <w:pStyle w:val="Doc-text2"/>
        <w:numPr>
          <w:ilvl w:val="0"/>
          <w:numId w:val="41"/>
        </w:numPr>
        <w:pBdr>
          <w:top w:val="single" w:sz="4" w:space="1" w:color="auto"/>
          <w:left w:val="single" w:sz="4" w:space="4" w:color="auto"/>
          <w:bottom w:val="single" w:sz="4" w:space="1" w:color="auto"/>
          <w:right w:val="single" w:sz="4" w:space="4" w:color="auto"/>
        </w:pBdr>
      </w:pPr>
      <w:r>
        <w:t>RAN2 adopts Option 1: UTC time + duration/timer, e.g. 00:00:01 + 40s for representing T1 and T2 for CHO time event.</w:t>
      </w:r>
    </w:p>
    <w:p w14:paraId="2F3EC9DF"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2.</w:t>
      </w:r>
      <w:r>
        <w:tab/>
      </w:r>
      <w:r w:rsidRPr="00493CEF">
        <w:t xml:space="preserve">RAN2 adopts </w:t>
      </w:r>
      <w:r>
        <w:t xml:space="preserve">options C: location and RRM and D: time </w:t>
      </w:r>
      <w:r w:rsidRPr="00493CEF">
        <w:t>and RRM to be configuration options for CHO</w:t>
      </w:r>
    </w:p>
    <w:p w14:paraId="16D33506"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3.</w:t>
      </w:r>
      <w:r>
        <w:tab/>
        <w:t>RAN2 down priorities further enhacnements for connected mode for Rel-17 for TN-NTN mobility</w:t>
      </w:r>
      <w:r>
        <w:tab/>
      </w:r>
    </w:p>
    <w:p w14:paraId="3FA5E5D2"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6E179C73" w14:textId="77777777" w:rsidR="009006BA" w:rsidRPr="00517A40" w:rsidRDefault="009006BA" w:rsidP="009006BA">
      <w:pPr>
        <w:pStyle w:val="Comments"/>
      </w:pPr>
    </w:p>
    <w:p w14:paraId="050FF6C0"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 via email - from offline 112:</w:t>
      </w:r>
    </w:p>
    <w:p w14:paraId="5079D2CE" w14:textId="77777777" w:rsidR="00DE5190" w:rsidRDefault="00DE5190" w:rsidP="00705FC3">
      <w:pPr>
        <w:pStyle w:val="Doc-text2"/>
        <w:numPr>
          <w:ilvl w:val="0"/>
          <w:numId w:val="42"/>
        </w:numPr>
        <w:pBdr>
          <w:top w:val="single" w:sz="4" w:space="1" w:color="auto"/>
          <w:left w:val="single" w:sz="4" w:space="4" w:color="auto"/>
          <w:bottom w:val="single" w:sz="4" w:space="1" w:color="auto"/>
          <w:right w:val="single" w:sz="4" w:space="4" w:color="auto"/>
        </w:pBdr>
      </w:pPr>
      <w:r>
        <w:t>The specific maximum number of SMTC configuration in one measurement object with the same ssbFrequency can be 4. And a LS will be sent to RAN4 to confirm the conclusion.</w:t>
      </w:r>
    </w:p>
    <w:p w14:paraId="6C99055F" w14:textId="77777777" w:rsidR="00DE5190" w:rsidRDefault="00DE5190" w:rsidP="00705FC3">
      <w:pPr>
        <w:pStyle w:val="Doc-text2"/>
        <w:numPr>
          <w:ilvl w:val="0"/>
          <w:numId w:val="42"/>
        </w:numPr>
        <w:pBdr>
          <w:top w:val="single" w:sz="4" w:space="1" w:color="auto"/>
          <w:left w:val="single" w:sz="4" w:space="4" w:color="auto"/>
          <w:bottom w:val="single" w:sz="4" w:space="1" w:color="auto"/>
          <w:right w:val="single" w:sz="4" w:space="4" w:color="auto"/>
        </w:pBdr>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456FF3DD" w14:textId="77777777" w:rsidR="00DE5190" w:rsidRDefault="00DE5190" w:rsidP="00705FC3">
      <w:pPr>
        <w:pStyle w:val="Doc-text2"/>
        <w:numPr>
          <w:ilvl w:val="0"/>
          <w:numId w:val="42"/>
        </w:numPr>
        <w:pBdr>
          <w:top w:val="single" w:sz="4" w:space="1" w:color="auto"/>
          <w:left w:val="single" w:sz="4" w:space="4" w:color="auto"/>
          <w:bottom w:val="single" w:sz="4" w:space="1" w:color="auto"/>
          <w:right w:val="single" w:sz="4" w:space="4" w:color="auto"/>
        </w:pBdr>
      </w:pPr>
      <w:r>
        <w:t>In NTN, it is necessary of the UE to report assistant information to the NW (which can be configured by NW or upon NW’s request) to assist NW calculating the offset for SMTC/GAP configurations. FFS the detailed information.</w:t>
      </w:r>
    </w:p>
    <w:p w14:paraId="72EB43EB" w14:textId="77777777" w:rsidR="00DE5190" w:rsidRPr="00517A40" w:rsidRDefault="00DE5190" w:rsidP="00DE5190">
      <w:pPr>
        <w:pStyle w:val="Comments"/>
      </w:pPr>
    </w:p>
    <w:p w14:paraId="46997805" w14:textId="77777777" w:rsidR="00DE5190" w:rsidRDefault="00DE5190" w:rsidP="00DE5190">
      <w:pPr>
        <w:pStyle w:val="Doc-text2"/>
        <w:pBdr>
          <w:top w:val="single" w:sz="4" w:space="1" w:color="auto"/>
          <w:left w:val="single" w:sz="4" w:space="4" w:color="auto"/>
          <w:bottom w:val="single" w:sz="4" w:space="1" w:color="auto"/>
          <w:right w:val="single" w:sz="4" w:space="4" w:color="auto"/>
        </w:pBdr>
      </w:pPr>
      <w:r>
        <w:t>Agreements:</w:t>
      </w:r>
    </w:p>
    <w:p w14:paraId="089E3628" w14:textId="77777777" w:rsidR="00DE5190" w:rsidRDefault="00DE5190" w:rsidP="00705FC3">
      <w:pPr>
        <w:pStyle w:val="Doc-text2"/>
        <w:numPr>
          <w:ilvl w:val="0"/>
          <w:numId w:val="43"/>
        </w:numPr>
        <w:pBdr>
          <w:top w:val="single" w:sz="4" w:space="1" w:color="auto"/>
          <w:left w:val="single" w:sz="4" w:space="4" w:color="auto"/>
          <w:bottom w:val="single" w:sz="4" w:space="1" w:color="auto"/>
          <w:right w:val="single" w:sz="4" w:space="4" w:color="auto"/>
        </w:pBdr>
      </w:pPr>
      <w:r>
        <w:t>The UE can be configured with multiple SMTCs per carrier. FFS if the UE can use only a partial set or all of them in parallel, and in case FFS whether based on network configuration or UE implementation</w:t>
      </w:r>
    </w:p>
    <w:p w14:paraId="1AD9CB6F" w14:textId="77777777" w:rsidR="009006BA" w:rsidRPr="00517A40" w:rsidRDefault="009006BA" w:rsidP="009006BA">
      <w:pPr>
        <w:pStyle w:val="Comments"/>
      </w:pPr>
    </w:p>
    <w:p w14:paraId="305E2B48" w14:textId="77777777" w:rsidR="009006BA" w:rsidRPr="00517A40" w:rsidRDefault="009006BA" w:rsidP="009006BA">
      <w:pPr>
        <w:pStyle w:val="Comments"/>
      </w:pPr>
    </w:p>
    <w:p w14:paraId="1E92AD01" w14:textId="77777777" w:rsidR="009006BA" w:rsidRPr="00517A40" w:rsidRDefault="009006BA" w:rsidP="009006BA">
      <w:pPr>
        <w:pStyle w:val="Comments"/>
      </w:pPr>
    </w:p>
    <w:p w14:paraId="7C03C9EA" w14:textId="77777777" w:rsidR="009006BA" w:rsidRDefault="009006BA" w:rsidP="009006BA">
      <w:pPr>
        <w:spacing w:before="240"/>
        <w:jc w:val="both"/>
        <w:rPr>
          <w:rFonts w:ascii="Arial" w:eastAsia="Malgun Gothic" w:hAnsi="Arial" w:cs="Arial"/>
        </w:rPr>
      </w:pPr>
    </w:p>
    <w:p w14:paraId="38660BF2" w14:textId="77777777" w:rsidR="009006BA" w:rsidRDefault="009006BA" w:rsidP="009006BA">
      <w:pPr>
        <w:spacing w:before="240"/>
        <w:jc w:val="both"/>
        <w:rPr>
          <w:rFonts w:ascii="Arial" w:eastAsia="Malgun Gothic" w:hAnsi="Arial" w:cs="Arial"/>
        </w:rPr>
      </w:pPr>
    </w:p>
    <w:p w14:paraId="5DBAE85C" w14:textId="6CBA02C7" w:rsidR="000B21D6" w:rsidRPr="00517A40" w:rsidRDefault="000B21D6" w:rsidP="00DD4FDA">
      <w:pPr>
        <w:pStyle w:val="BodyText"/>
        <w:rPr>
          <w:lang w:eastAsia="ja-JP"/>
        </w:rPr>
      </w:pPr>
    </w:p>
    <w:p w14:paraId="37097472" w14:textId="77777777" w:rsidR="000B21D6" w:rsidRPr="00517A40" w:rsidRDefault="000B21D6" w:rsidP="00DD4FDA">
      <w:pPr>
        <w:pStyle w:val="BodyText"/>
        <w:rPr>
          <w:lang w:eastAsia="ja-JP"/>
        </w:rPr>
      </w:pPr>
    </w:p>
    <w:p w14:paraId="53E6C4CD" w14:textId="5718D778" w:rsidR="000B21D6" w:rsidRPr="00517A40" w:rsidRDefault="000B21D6" w:rsidP="00DD4FDA">
      <w:pPr>
        <w:pStyle w:val="BodyText"/>
        <w:rPr>
          <w:lang w:eastAsia="ja-JP"/>
        </w:rPr>
      </w:pPr>
    </w:p>
    <w:p w14:paraId="6F0EFF1E" w14:textId="2D5E0AA6" w:rsidR="000B21D6" w:rsidRPr="00517A40" w:rsidRDefault="000B21D6" w:rsidP="00DD4FDA">
      <w:pPr>
        <w:pStyle w:val="BodyText"/>
        <w:rPr>
          <w:lang w:eastAsia="ja-JP"/>
        </w:rPr>
      </w:pPr>
    </w:p>
    <w:p w14:paraId="0BCB59C0" w14:textId="133ECD41" w:rsidR="000B21D6" w:rsidRPr="00517A40" w:rsidRDefault="000B21D6" w:rsidP="00DD4FDA">
      <w:pPr>
        <w:pStyle w:val="BodyText"/>
        <w:rPr>
          <w:lang w:eastAsia="ja-JP"/>
        </w:rPr>
      </w:pPr>
    </w:p>
    <w:p w14:paraId="6B54FA6C" w14:textId="49FB698C" w:rsidR="000B21D6" w:rsidRPr="00517A40" w:rsidRDefault="000B21D6" w:rsidP="00DD4FDA">
      <w:pPr>
        <w:pStyle w:val="BodyText"/>
        <w:rPr>
          <w:lang w:eastAsia="ja-JP"/>
        </w:rPr>
      </w:pPr>
    </w:p>
    <w:p w14:paraId="4D0D05B0" w14:textId="77777777" w:rsidR="000B21D6" w:rsidRPr="00517A40" w:rsidRDefault="000B21D6" w:rsidP="00DD4FDA">
      <w:pPr>
        <w:pStyle w:val="BodyText"/>
        <w:rPr>
          <w:lang w:eastAsia="ja-JP"/>
        </w:rPr>
      </w:pPr>
    </w:p>
    <w:sectPr w:rsidR="000B21D6" w:rsidRPr="00517A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92975" w14:textId="77777777" w:rsidR="00252560" w:rsidRDefault="00252560">
      <w:r>
        <w:separator/>
      </w:r>
    </w:p>
  </w:endnote>
  <w:endnote w:type="continuationSeparator" w:id="0">
    <w:p w14:paraId="4245D0F8" w14:textId="77777777" w:rsidR="00252560" w:rsidRDefault="00252560">
      <w:r>
        <w:continuationSeparator/>
      </w:r>
    </w:p>
  </w:endnote>
  <w:endnote w:type="continuationNotice" w:id="1">
    <w:p w14:paraId="298A87E4" w14:textId="77777777" w:rsidR="00252560" w:rsidRDefault="00252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B058F" w14:textId="77777777" w:rsidR="00252560" w:rsidRDefault="00252560">
      <w:r>
        <w:separator/>
      </w:r>
    </w:p>
  </w:footnote>
  <w:footnote w:type="continuationSeparator" w:id="0">
    <w:p w14:paraId="5752F23B" w14:textId="77777777" w:rsidR="00252560" w:rsidRDefault="00252560">
      <w:r>
        <w:continuationSeparator/>
      </w:r>
    </w:p>
  </w:footnote>
  <w:footnote w:type="continuationNotice" w:id="1">
    <w:p w14:paraId="06395066" w14:textId="77777777" w:rsidR="00252560" w:rsidRDefault="00252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4A6A4E"/>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B201652"/>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9249B"/>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D90841"/>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6E63B1E"/>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754495"/>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6E10C3"/>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4"/>
  </w:num>
  <w:num w:numId="3">
    <w:abstractNumId w:val="0"/>
  </w:num>
  <w:num w:numId="4">
    <w:abstractNumId w:val="30"/>
  </w:num>
  <w:num w:numId="5">
    <w:abstractNumId w:val="31"/>
  </w:num>
  <w:num w:numId="6">
    <w:abstractNumId w:val="34"/>
  </w:num>
  <w:num w:numId="7">
    <w:abstractNumId w:val="15"/>
  </w:num>
  <w:num w:numId="8">
    <w:abstractNumId w:val="18"/>
  </w:num>
  <w:num w:numId="9">
    <w:abstractNumId w:val="6"/>
  </w:num>
  <w:num w:numId="10">
    <w:abstractNumId w:val="42"/>
  </w:num>
  <w:num w:numId="11">
    <w:abstractNumId w:val="22"/>
  </w:num>
  <w:num w:numId="12">
    <w:abstractNumId w:val="39"/>
  </w:num>
  <w:num w:numId="13">
    <w:abstractNumId w:val="14"/>
  </w:num>
  <w:num w:numId="14">
    <w:abstractNumId w:val="5"/>
  </w:num>
  <w:num w:numId="15">
    <w:abstractNumId w:val="3"/>
  </w:num>
  <w:num w:numId="16">
    <w:abstractNumId w:val="2"/>
  </w:num>
  <w:num w:numId="17">
    <w:abstractNumId w:val="29"/>
  </w:num>
  <w:num w:numId="18">
    <w:abstractNumId w:val="7"/>
  </w:num>
  <w:num w:numId="19">
    <w:abstractNumId w:val="35"/>
  </w:num>
  <w:num w:numId="20">
    <w:abstractNumId w:val="43"/>
  </w:num>
  <w:num w:numId="21">
    <w:abstractNumId w:val="11"/>
  </w:num>
  <w:num w:numId="22">
    <w:abstractNumId w:val="40"/>
  </w:num>
  <w:num w:numId="23">
    <w:abstractNumId w:val="9"/>
  </w:num>
  <w:num w:numId="24">
    <w:abstractNumId w:val="12"/>
  </w:num>
  <w:num w:numId="25">
    <w:abstractNumId w:val="19"/>
  </w:num>
  <w:num w:numId="26">
    <w:abstractNumId w:val="26"/>
  </w:num>
  <w:num w:numId="27">
    <w:abstractNumId w:val="17"/>
  </w:num>
  <w:num w:numId="28">
    <w:abstractNumId w:val="16"/>
  </w:num>
  <w:num w:numId="29">
    <w:abstractNumId w:val="38"/>
  </w:num>
  <w:num w:numId="30">
    <w:abstractNumId w:val="1"/>
  </w:num>
  <w:num w:numId="31">
    <w:abstractNumId w:val="13"/>
  </w:num>
  <w:num w:numId="32">
    <w:abstractNumId w:val="41"/>
  </w:num>
  <w:num w:numId="33">
    <w:abstractNumId w:val="8"/>
  </w:num>
  <w:num w:numId="34">
    <w:abstractNumId w:val="33"/>
  </w:num>
  <w:num w:numId="35">
    <w:abstractNumId w:val="4"/>
  </w:num>
  <w:num w:numId="36">
    <w:abstractNumId w:val="36"/>
  </w:num>
  <w:num w:numId="37">
    <w:abstractNumId w:val="25"/>
  </w:num>
  <w:num w:numId="38">
    <w:abstractNumId w:val="32"/>
  </w:num>
  <w:num w:numId="39">
    <w:abstractNumId w:val="23"/>
  </w:num>
  <w:num w:numId="40">
    <w:abstractNumId w:val="27"/>
  </w:num>
  <w:num w:numId="41">
    <w:abstractNumId w:val="20"/>
  </w:num>
  <w:num w:numId="42">
    <w:abstractNumId w:val="37"/>
  </w:num>
  <w:num w:numId="43">
    <w:abstractNumId w:val="21"/>
  </w:num>
  <w:num w:numId="4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A37"/>
    <w:rsid w:val="0000564C"/>
    <w:rsid w:val="0000575F"/>
    <w:rsid w:val="00005A42"/>
    <w:rsid w:val="000062F7"/>
    <w:rsid w:val="00006446"/>
    <w:rsid w:val="00006896"/>
    <w:rsid w:val="000068E2"/>
    <w:rsid w:val="000071EC"/>
    <w:rsid w:val="00007CDC"/>
    <w:rsid w:val="00011276"/>
    <w:rsid w:val="00011B28"/>
    <w:rsid w:val="00012346"/>
    <w:rsid w:val="00012D9D"/>
    <w:rsid w:val="000132A8"/>
    <w:rsid w:val="000136A0"/>
    <w:rsid w:val="000136D3"/>
    <w:rsid w:val="00013EB6"/>
    <w:rsid w:val="0001439D"/>
    <w:rsid w:val="00014CA8"/>
    <w:rsid w:val="00015D15"/>
    <w:rsid w:val="00016A18"/>
    <w:rsid w:val="00016AAD"/>
    <w:rsid w:val="00016E75"/>
    <w:rsid w:val="00021CC0"/>
    <w:rsid w:val="00021FD8"/>
    <w:rsid w:val="00023715"/>
    <w:rsid w:val="000247F1"/>
    <w:rsid w:val="00024BF0"/>
    <w:rsid w:val="0002564D"/>
    <w:rsid w:val="00025ECA"/>
    <w:rsid w:val="00025F4A"/>
    <w:rsid w:val="00026F11"/>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0766"/>
    <w:rsid w:val="000410AE"/>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6E7"/>
    <w:rsid w:val="000622B1"/>
    <w:rsid w:val="00062765"/>
    <w:rsid w:val="00062FB2"/>
    <w:rsid w:val="000631AA"/>
    <w:rsid w:val="000640F4"/>
    <w:rsid w:val="0006487E"/>
    <w:rsid w:val="00064BE0"/>
    <w:rsid w:val="000650DE"/>
    <w:rsid w:val="00065E1A"/>
    <w:rsid w:val="00066007"/>
    <w:rsid w:val="00067140"/>
    <w:rsid w:val="00071C57"/>
    <w:rsid w:val="00072253"/>
    <w:rsid w:val="00072345"/>
    <w:rsid w:val="0007241D"/>
    <w:rsid w:val="0007439C"/>
    <w:rsid w:val="000747F2"/>
    <w:rsid w:val="00074972"/>
    <w:rsid w:val="00076325"/>
    <w:rsid w:val="00076DE9"/>
    <w:rsid w:val="0007706A"/>
    <w:rsid w:val="00077446"/>
    <w:rsid w:val="00077E5F"/>
    <w:rsid w:val="0008036A"/>
    <w:rsid w:val="0008070A"/>
    <w:rsid w:val="000809B3"/>
    <w:rsid w:val="000819EE"/>
    <w:rsid w:val="00081AE6"/>
    <w:rsid w:val="00082906"/>
    <w:rsid w:val="00083917"/>
    <w:rsid w:val="00083DF7"/>
    <w:rsid w:val="000847D5"/>
    <w:rsid w:val="00084B97"/>
    <w:rsid w:val="00084C76"/>
    <w:rsid w:val="000855EB"/>
    <w:rsid w:val="00085B52"/>
    <w:rsid w:val="000861A4"/>
    <w:rsid w:val="000862FB"/>
    <w:rsid w:val="000862FE"/>
    <w:rsid w:val="000865D0"/>
    <w:rsid w:val="000866F2"/>
    <w:rsid w:val="00087751"/>
    <w:rsid w:val="00087E7D"/>
    <w:rsid w:val="0009009F"/>
    <w:rsid w:val="00090341"/>
    <w:rsid w:val="000904CC"/>
    <w:rsid w:val="00090F62"/>
    <w:rsid w:val="00091557"/>
    <w:rsid w:val="00091811"/>
    <w:rsid w:val="00091969"/>
    <w:rsid w:val="000922B0"/>
    <w:rsid w:val="000924C1"/>
    <w:rsid w:val="000924F0"/>
    <w:rsid w:val="000928DD"/>
    <w:rsid w:val="00092A7A"/>
    <w:rsid w:val="00092AC1"/>
    <w:rsid w:val="00093197"/>
    <w:rsid w:val="00093474"/>
    <w:rsid w:val="00093533"/>
    <w:rsid w:val="00093538"/>
    <w:rsid w:val="00094533"/>
    <w:rsid w:val="000947DF"/>
    <w:rsid w:val="00094988"/>
    <w:rsid w:val="0009510F"/>
    <w:rsid w:val="00095213"/>
    <w:rsid w:val="0009521E"/>
    <w:rsid w:val="00095E66"/>
    <w:rsid w:val="00095EAC"/>
    <w:rsid w:val="000963FB"/>
    <w:rsid w:val="0009799E"/>
    <w:rsid w:val="000A1B7B"/>
    <w:rsid w:val="000A1D4B"/>
    <w:rsid w:val="000A3408"/>
    <w:rsid w:val="000A3D6E"/>
    <w:rsid w:val="000A478D"/>
    <w:rsid w:val="000A4DD4"/>
    <w:rsid w:val="000A56F2"/>
    <w:rsid w:val="000A64C3"/>
    <w:rsid w:val="000A65A5"/>
    <w:rsid w:val="000A6EBF"/>
    <w:rsid w:val="000B0295"/>
    <w:rsid w:val="000B070E"/>
    <w:rsid w:val="000B1F7D"/>
    <w:rsid w:val="000B21D6"/>
    <w:rsid w:val="000B2719"/>
    <w:rsid w:val="000B3A8F"/>
    <w:rsid w:val="000B3C1E"/>
    <w:rsid w:val="000B4414"/>
    <w:rsid w:val="000B4AB9"/>
    <w:rsid w:val="000B5013"/>
    <w:rsid w:val="000B524B"/>
    <w:rsid w:val="000B58C3"/>
    <w:rsid w:val="000B61E9"/>
    <w:rsid w:val="000B6216"/>
    <w:rsid w:val="000B640F"/>
    <w:rsid w:val="000B6FD0"/>
    <w:rsid w:val="000B7C3A"/>
    <w:rsid w:val="000C09DB"/>
    <w:rsid w:val="000C0A56"/>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7CE4"/>
    <w:rsid w:val="000C7F06"/>
    <w:rsid w:val="000D05D1"/>
    <w:rsid w:val="000D0D07"/>
    <w:rsid w:val="000D1623"/>
    <w:rsid w:val="000D1D2F"/>
    <w:rsid w:val="000D1D44"/>
    <w:rsid w:val="000D1F6D"/>
    <w:rsid w:val="000D29D5"/>
    <w:rsid w:val="000D4797"/>
    <w:rsid w:val="000D546A"/>
    <w:rsid w:val="000D5B10"/>
    <w:rsid w:val="000D6514"/>
    <w:rsid w:val="000D66C8"/>
    <w:rsid w:val="000D697C"/>
    <w:rsid w:val="000D6ABB"/>
    <w:rsid w:val="000D746C"/>
    <w:rsid w:val="000D7567"/>
    <w:rsid w:val="000E005A"/>
    <w:rsid w:val="000E0527"/>
    <w:rsid w:val="000E0FE9"/>
    <w:rsid w:val="000E12BA"/>
    <w:rsid w:val="000E136A"/>
    <w:rsid w:val="000E18BE"/>
    <w:rsid w:val="000E1E92"/>
    <w:rsid w:val="000E30B5"/>
    <w:rsid w:val="000E368D"/>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216F"/>
    <w:rsid w:val="001130AB"/>
    <w:rsid w:val="00113282"/>
    <w:rsid w:val="00113CF4"/>
    <w:rsid w:val="00114079"/>
    <w:rsid w:val="001153EA"/>
    <w:rsid w:val="00115643"/>
    <w:rsid w:val="0011649D"/>
    <w:rsid w:val="00116765"/>
    <w:rsid w:val="00117A58"/>
    <w:rsid w:val="001206FA"/>
    <w:rsid w:val="00120A68"/>
    <w:rsid w:val="001219F5"/>
    <w:rsid w:val="00121A20"/>
    <w:rsid w:val="001226C6"/>
    <w:rsid w:val="00122E47"/>
    <w:rsid w:val="0012310B"/>
    <w:rsid w:val="0012377F"/>
    <w:rsid w:val="00124314"/>
    <w:rsid w:val="00126B4A"/>
    <w:rsid w:val="001273ED"/>
    <w:rsid w:val="001278BB"/>
    <w:rsid w:val="0012797C"/>
    <w:rsid w:val="00127D22"/>
    <w:rsid w:val="001303C0"/>
    <w:rsid w:val="00131676"/>
    <w:rsid w:val="0013251A"/>
    <w:rsid w:val="00132C49"/>
    <w:rsid w:val="00132EEE"/>
    <w:rsid w:val="00132FD0"/>
    <w:rsid w:val="00133216"/>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A74"/>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605EB"/>
    <w:rsid w:val="001607E1"/>
    <w:rsid w:val="00160868"/>
    <w:rsid w:val="001615F0"/>
    <w:rsid w:val="0016199A"/>
    <w:rsid w:val="00162026"/>
    <w:rsid w:val="001629AD"/>
    <w:rsid w:val="00162B41"/>
    <w:rsid w:val="00162EE1"/>
    <w:rsid w:val="00163A41"/>
    <w:rsid w:val="00164570"/>
    <w:rsid w:val="00164F29"/>
    <w:rsid w:val="0016588B"/>
    <w:rsid w:val="001659C1"/>
    <w:rsid w:val="001660E5"/>
    <w:rsid w:val="00167829"/>
    <w:rsid w:val="001707E0"/>
    <w:rsid w:val="00170A76"/>
    <w:rsid w:val="00170DBE"/>
    <w:rsid w:val="00172AE0"/>
    <w:rsid w:val="0017380E"/>
    <w:rsid w:val="00173A8E"/>
    <w:rsid w:val="001741B0"/>
    <w:rsid w:val="0017502C"/>
    <w:rsid w:val="001757E0"/>
    <w:rsid w:val="001761C0"/>
    <w:rsid w:val="00176A29"/>
    <w:rsid w:val="00176C32"/>
    <w:rsid w:val="00176EDC"/>
    <w:rsid w:val="00176EF8"/>
    <w:rsid w:val="00177BDC"/>
    <w:rsid w:val="00177C20"/>
    <w:rsid w:val="001800D5"/>
    <w:rsid w:val="0018084B"/>
    <w:rsid w:val="00180B7D"/>
    <w:rsid w:val="001810EC"/>
    <w:rsid w:val="0018143F"/>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A5D"/>
    <w:rsid w:val="001B6359"/>
    <w:rsid w:val="001B7198"/>
    <w:rsid w:val="001B7838"/>
    <w:rsid w:val="001B7C44"/>
    <w:rsid w:val="001C10C8"/>
    <w:rsid w:val="001C16C0"/>
    <w:rsid w:val="001C1CE5"/>
    <w:rsid w:val="001C1DB6"/>
    <w:rsid w:val="001C1E76"/>
    <w:rsid w:val="001C2E1D"/>
    <w:rsid w:val="001C3D2A"/>
    <w:rsid w:val="001C404E"/>
    <w:rsid w:val="001C4379"/>
    <w:rsid w:val="001C480A"/>
    <w:rsid w:val="001C4C1A"/>
    <w:rsid w:val="001C6517"/>
    <w:rsid w:val="001C68E3"/>
    <w:rsid w:val="001C6F29"/>
    <w:rsid w:val="001C782D"/>
    <w:rsid w:val="001D0028"/>
    <w:rsid w:val="001D0568"/>
    <w:rsid w:val="001D0CD6"/>
    <w:rsid w:val="001D1B8E"/>
    <w:rsid w:val="001D2366"/>
    <w:rsid w:val="001D32F8"/>
    <w:rsid w:val="001D3F58"/>
    <w:rsid w:val="001D4F52"/>
    <w:rsid w:val="001D51BA"/>
    <w:rsid w:val="001D53E7"/>
    <w:rsid w:val="001D55BD"/>
    <w:rsid w:val="001D5A76"/>
    <w:rsid w:val="001D5C7F"/>
    <w:rsid w:val="001D6342"/>
    <w:rsid w:val="001D6D53"/>
    <w:rsid w:val="001D7BCF"/>
    <w:rsid w:val="001E0841"/>
    <w:rsid w:val="001E4BA8"/>
    <w:rsid w:val="001E5260"/>
    <w:rsid w:val="001E58E2"/>
    <w:rsid w:val="001E5FD2"/>
    <w:rsid w:val="001E7AED"/>
    <w:rsid w:val="001F13A3"/>
    <w:rsid w:val="001F1B57"/>
    <w:rsid w:val="001F1E36"/>
    <w:rsid w:val="001F1E5E"/>
    <w:rsid w:val="001F2D27"/>
    <w:rsid w:val="001F2DE3"/>
    <w:rsid w:val="001F32F7"/>
    <w:rsid w:val="001F3916"/>
    <w:rsid w:val="001F473D"/>
    <w:rsid w:val="001F4D82"/>
    <w:rsid w:val="001F525C"/>
    <w:rsid w:val="001F54C5"/>
    <w:rsid w:val="001F662C"/>
    <w:rsid w:val="001F7074"/>
    <w:rsid w:val="001F7B59"/>
    <w:rsid w:val="00200490"/>
    <w:rsid w:val="002011D4"/>
    <w:rsid w:val="0020176B"/>
    <w:rsid w:val="00201C64"/>
    <w:rsid w:val="00201F3A"/>
    <w:rsid w:val="00202F8D"/>
    <w:rsid w:val="00203F96"/>
    <w:rsid w:val="00204415"/>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559"/>
    <w:rsid w:val="002429C6"/>
    <w:rsid w:val="002434DF"/>
    <w:rsid w:val="002435B3"/>
    <w:rsid w:val="002435E2"/>
    <w:rsid w:val="00243F1E"/>
    <w:rsid w:val="00244A95"/>
    <w:rsid w:val="00244C22"/>
    <w:rsid w:val="00245543"/>
    <w:rsid w:val="002458EB"/>
    <w:rsid w:val="00246CEC"/>
    <w:rsid w:val="002500C8"/>
    <w:rsid w:val="002506AC"/>
    <w:rsid w:val="0025084E"/>
    <w:rsid w:val="00250B48"/>
    <w:rsid w:val="00250E8C"/>
    <w:rsid w:val="002514F6"/>
    <w:rsid w:val="00251C33"/>
    <w:rsid w:val="002521F1"/>
    <w:rsid w:val="00252560"/>
    <w:rsid w:val="002529CB"/>
    <w:rsid w:val="002546EB"/>
    <w:rsid w:val="00254B2E"/>
    <w:rsid w:val="00254D0F"/>
    <w:rsid w:val="002559BF"/>
    <w:rsid w:val="00255E26"/>
    <w:rsid w:val="00257543"/>
    <w:rsid w:val="00260E3B"/>
    <w:rsid w:val="002613A6"/>
    <w:rsid w:val="002617E7"/>
    <w:rsid w:val="002620D7"/>
    <w:rsid w:val="002628DA"/>
    <w:rsid w:val="0026362E"/>
    <w:rsid w:val="00264228"/>
    <w:rsid w:val="00264334"/>
    <w:rsid w:val="0026473E"/>
    <w:rsid w:val="00264AAD"/>
    <w:rsid w:val="00264F29"/>
    <w:rsid w:val="00265710"/>
    <w:rsid w:val="00266214"/>
    <w:rsid w:val="00266446"/>
    <w:rsid w:val="00266622"/>
    <w:rsid w:val="00266DE5"/>
    <w:rsid w:val="002678EA"/>
    <w:rsid w:val="00267C83"/>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F40"/>
    <w:rsid w:val="0028331C"/>
    <w:rsid w:val="00283B16"/>
    <w:rsid w:val="002840A3"/>
    <w:rsid w:val="0028441E"/>
    <w:rsid w:val="002859B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C77"/>
    <w:rsid w:val="002B0E2C"/>
    <w:rsid w:val="002B146C"/>
    <w:rsid w:val="002B24D6"/>
    <w:rsid w:val="002B2566"/>
    <w:rsid w:val="002B3094"/>
    <w:rsid w:val="002B3551"/>
    <w:rsid w:val="002B3DC1"/>
    <w:rsid w:val="002B4E3A"/>
    <w:rsid w:val="002B52E6"/>
    <w:rsid w:val="002B571E"/>
    <w:rsid w:val="002C02DE"/>
    <w:rsid w:val="002C10DC"/>
    <w:rsid w:val="002C1632"/>
    <w:rsid w:val="002C248B"/>
    <w:rsid w:val="002C2A2F"/>
    <w:rsid w:val="002C2D12"/>
    <w:rsid w:val="002C2F7B"/>
    <w:rsid w:val="002C38FB"/>
    <w:rsid w:val="002C41E6"/>
    <w:rsid w:val="002C5C04"/>
    <w:rsid w:val="002C6181"/>
    <w:rsid w:val="002C62DC"/>
    <w:rsid w:val="002C723A"/>
    <w:rsid w:val="002C724F"/>
    <w:rsid w:val="002C749C"/>
    <w:rsid w:val="002C7760"/>
    <w:rsid w:val="002C7B43"/>
    <w:rsid w:val="002C7E2A"/>
    <w:rsid w:val="002D071A"/>
    <w:rsid w:val="002D0D34"/>
    <w:rsid w:val="002D183A"/>
    <w:rsid w:val="002D30C8"/>
    <w:rsid w:val="002D3325"/>
    <w:rsid w:val="002D34B2"/>
    <w:rsid w:val="002D48B0"/>
    <w:rsid w:val="002D4922"/>
    <w:rsid w:val="002D55AA"/>
    <w:rsid w:val="002D5B37"/>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1492"/>
    <w:rsid w:val="002F2771"/>
    <w:rsid w:val="002F282D"/>
    <w:rsid w:val="002F31ED"/>
    <w:rsid w:val="002F37A9"/>
    <w:rsid w:val="002F523B"/>
    <w:rsid w:val="002F5B33"/>
    <w:rsid w:val="002F5B9D"/>
    <w:rsid w:val="002F61D7"/>
    <w:rsid w:val="002F7229"/>
    <w:rsid w:val="002F7253"/>
    <w:rsid w:val="002F7605"/>
    <w:rsid w:val="002F7E08"/>
    <w:rsid w:val="00300357"/>
    <w:rsid w:val="00300401"/>
    <w:rsid w:val="00300992"/>
    <w:rsid w:val="003009F8"/>
    <w:rsid w:val="00300E91"/>
    <w:rsid w:val="003014E5"/>
    <w:rsid w:val="003016D3"/>
    <w:rsid w:val="00301CDE"/>
    <w:rsid w:val="00301CE6"/>
    <w:rsid w:val="0030256B"/>
    <w:rsid w:val="003028E5"/>
    <w:rsid w:val="00303656"/>
    <w:rsid w:val="00304E40"/>
    <w:rsid w:val="0030501F"/>
    <w:rsid w:val="00305A0F"/>
    <w:rsid w:val="00306286"/>
    <w:rsid w:val="00306546"/>
    <w:rsid w:val="00306D24"/>
    <w:rsid w:val="00307BA1"/>
    <w:rsid w:val="003109BA"/>
    <w:rsid w:val="00311702"/>
    <w:rsid w:val="00311E82"/>
    <w:rsid w:val="003120ED"/>
    <w:rsid w:val="003121A9"/>
    <w:rsid w:val="0031288D"/>
    <w:rsid w:val="00313358"/>
    <w:rsid w:val="00313FD6"/>
    <w:rsid w:val="00314364"/>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4A7"/>
    <w:rsid w:val="00323FC8"/>
    <w:rsid w:val="00324C31"/>
    <w:rsid w:val="00324D23"/>
    <w:rsid w:val="003252B9"/>
    <w:rsid w:val="00325404"/>
    <w:rsid w:val="0032591E"/>
    <w:rsid w:val="003272C9"/>
    <w:rsid w:val="003277A3"/>
    <w:rsid w:val="00327BAB"/>
    <w:rsid w:val="00331470"/>
    <w:rsid w:val="00331751"/>
    <w:rsid w:val="003320CF"/>
    <w:rsid w:val="0033257A"/>
    <w:rsid w:val="00332A33"/>
    <w:rsid w:val="00334579"/>
    <w:rsid w:val="003346F2"/>
    <w:rsid w:val="00335858"/>
    <w:rsid w:val="00335FC7"/>
    <w:rsid w:val="00336222"/>
    <w:rsid w:val="003368B9"/>
    <w:rsid w:val="00336BDA"/>
    <w:rsid w:val="003372C4"/>
    <w:rsid w:val="00337AB0"/>
    <w:rsid w:val="00340ABC"/>
    <w:rsid w:val="00341284"/>
    <w:rsid w:val="00342845"/>
    <w:rsid w:val="00342BD7"/>
    <w:rsid w:val="0034367C"/>
    <w:rsid w:val="0034451C"/>
    <w:rsid w:val="00345FA5"/>
    <w:rsid w:val="003462A6"/>
    <w:rsid w:val="0034646E"/>
    <w:rsid w:val="00346D90"/>
    <w:rsid w:val="00346DB5"/>
    <w:rsid w:val="00346FFD"/>
    <w:rsid w:val="003473E9"/>
    <w:rsid w:val="003477B1"/>
    <w:rsid w:val="00350A52"/>
    <w:rsid w:val="00350D6C"/>
    <w:rsid w:val="0035132F"/>
    <w:rsid w:val="00351F7F"/>
    <w:rsid w:val="00352E89"/>
    <w:rsid w:val="003538F3"/>
    <w:rsid w:val="00354279"/>
    <w:rsid w:val="00354D95"/>
    <w:rsid w:val="00354F7C"/>
    <w:rsid w:val="00354FD0"/>
    <w:rsid w:val="00355768"/>
    <w:rsid w:val="003561CE"/>
    <w:rsid w:val="00356ECA"/>
    <w:rsid w:val="00357380"/>
    <w:rsid w:val="0035784C"/>
    <w:rsid w:val="003602D9"/>
    <w:rsid w:val="003604CE"/>
    <w:rsid w:val="0036078B"/>
    <w:rsid w:val="00362364"/>
    <w:rsid w:val="0036278C"/>
    <w:rsid w:val="003650AE"/>
    <w:rsid w:val="003651C5"/>
    <w:rsid w:val="003655AB"/>
    <w:rsid w:val="00365CF2"/>
    <w:rsid w:val="00366067"/>
    <w:rsid w:val="0036636B"/>
    <w:rsid w:val="00366CF4"/>
    <w:rsid w:val="00366E55"/>
    <w:rsid w:val="00367067"/>
    <w:rsid w:val="00367C12"/>
    <w:rsid w:val="0037058A"/>
    <w:rsid w:val="00370E47"/>
    <w:rsid w:val="00371048"/>
    <w:rsid w:val="00372A73"/>
    <w:rsid w:val="00372BCE"/>
    <w:rsid w:val="003742AC"/>
    <w:rsid w:val="00375D39"/>
    <w:rsid w:val="00375F09"/>
    <w:rsid w:val="003763DB"/>
    <w:rsid w:val="00376A91"/>
    <w:rsid w:val="00377638"/>
    <w:rsid w:val="003779B9"/>
    <w:rsid w:val="00377CE1"/>
    <w:rsid w:val="0038042C"/>
    <w:rsid w:val="00380A95"/>
    <w:rsid w:val="00380FC4"/>
    <w:rsid w:val="00382727"/>
    <w:rsid w:val="00382993"/>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40BF"/>
    <w:rsid w:val="00397D97"/>
    <w:rsid w:val="003A02A1"/>
    <w:rsid w:val="003A0980"/>
    <w:rsid w:val="003A18A8"/>
    <w:rsid w:val="003A1FE5"/>
    <w:rsid w:val="003A2223"/>
    <w:rsid w:val="003A24A3"/>
    <w:rsid w:val="003A2A0F"/>
    <w:rsid w:val="003A4278"/>
    <w:rsid w:val="003A43AC"/>
    <w:rsid w:val="003A45A1"/>
    <w:rsid w:val="003A4839"/>
    <w:rsid w:val="003A571A"/>
    <w:rsid w:val="003A5B0A"/>
    <w:rsid w:val="003A6592"/>
    <w:rsid w:val="003A6BAC"/>
    <w:rsid w:val="003A70A4"/>
    <w:rsid w:val="003A7283"/>
    <w:rsid w:val="003A7B10"/>
    <w:rsid w:val="003A7EF3"/>
    <w:rsid w:val="003A7F56"/>
    <w:rsid w:val="003B159C"/>
    <w:rsid w:val="003B2A2B"/>
    <w:rsid w:val="003B303B"/>
    <w:rsid w:val="003B369F"/>
    <w:rsid w:val="003B36A3"/>
    <w:rsid w:val="003B3FAC"/>
    <w:rsid w:val="003B45B3"/>
    <w:rsid w:val="003B4FED"/>
    <w:rsid w:val="003B50D9"/>
    <w:rsid w:val="003B56A8"/>
    <w:rsid w:val="003B64BB"/>
    <w:rsid w:val="003B6AAA"/>
    <w:rsid w:val="003B6B02"/>
    <w:rsid w:val="003B6FDA"/>
    <w:rsid w:val="003B77C8"/>
    <w:rsid w:val="003B7A40"/>
    <w:rsid w:val="003B7BF7"/>
    <w:rsid w:val="003B7D62"/>
    <w:rsid w:val="003B7FE5"/>
    <w:rsid w:val="003C0BE4"/>
    <w:rsid w:val="003C11C8"/>
    <w:rsid w:val="003C1633"/>
    <w:rsid w:val="003C1E5C"/>
    <w:rsid w:val="003C2702"/>
    <w:rsid w:val="003C2B17"/>
    <w:rsid w:val="003C2C75"/>
    <w:rsid w:val="003C32D1"/>
    <w:rsid w:val="003C37DB"/>
    <w:rsid w:val="003C4711"/>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A47"/>
    <w:rsid w:val="003E55E4"/>
    <w:rsid w:val="003E5E30"/>
    <w:rsid w:val="003E5EDA"/>
    <w:rsid w:val="003E64F1"/>
    <w:rsid w:val="003E6F9A"/>
    <w:rsid w:val="003E6FAD"/>
    <w:rsid w:val="003E74E3"/>
    <w:rsid w:val="003F05C7"/>
    <w:rsid w:val="003F1755"/>
    <w:rsid w:val="003F2CD4"/>
    <w:rsid w:val="003F45A5"/>
    <w:rsid w:val="003F4722"/>
    <w:rsid w:val="003F558D"/>
    <w:rsid w:val="003F5875"/>
    <w:rsid w:val="003F5B06"/>
    <w:rsid w:val="003F645E"/>
    <w:rsid w:val="003F6BBE"/>
    <w:rsid w:val="004000E8"/>
    <w:rsid w:val="0040082A"/>
    <w:rsid w:val="00400AFC"/>
    <w:rsid w:val="004011AC"/>
    <w:rsid w:val="0040290E"/>
    <w:rsid w:val="00402E2B"/>
    <w:rsid w:val="00403277"/>
    <w:rsid w:val="004035D7"/>
    <w:rsid w:val="00403E0E"/>
    <w:rsid w:val="00403EE8"/>
    <w:rsid w:val="004050C8"/>
    <w:rsid w:val="0040512B"/>
    <w:rsid w:val="00405BBE"/>
    <w:rsid w:val="00405CA5"/>
    <w:rsid w:val="004063CF"/>
    <w:rsid w:val="00407037"/>
    <w:rsid w:val="0040771A"/>
    <w:rsid w:val="004078BA"/>
    <w:rsid w:val="00407CD3"/>
    <w:rsid w:val="00410134"/>
    <w:rsid w:val="00410B72"/>
    <w:rsid w:val="00410B86"/>
    <w:rsid w:val="00410F18"/>
    <w:rsid w:val="00411BCD"/>
    <w:rsid w:val="00411C2B"/>
    <w:rsid w:val="0041263E"/>
    <w:rsid w:val="00413AAC"/>
    <w:rsid w:val="00413B6A"/>
    <w:rsid w:val="00413E92"/>
    <w:rsid w:val="00413F23"/>
    <w:rsid w:val="00414C03"/>
    <w:rsid w:val="00415090"/>
    <w:rsid w:val="00415C0A"/>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5F4"/>
    <w:rsid w:val="0042486E"/>
    <w:rsid w:val="00426679"/>
    <w:rsid w:val="00427248"/>
    <w:rsid w:val="00427526"/>
    <w:rsid w:val="00427D81"/>
    <w:rsid w:val="0043073E"/>
    <w:rsid w:val="004322F0"/>
    <w:rsid w:val="0043459F"/>
    <w:rsid w:val="004360B1"/>
    <w:rsid w:val="00436395"/>
    <w:rsid w:val="0043646D"/>
    <w:rsid w:val="00437123"/>
    <w:rsid w:val="00437447"/>
    <w:rsid w:val="00440B7D"/>
    <w:rsid w:val="00441812"/>
    <w:rsid w:val="00441A92"/>
    <w:rsid w:val="004431DC"/>
    <w:rsid w:val="00444F56"/>
    <w:rsid w:val="00445599"/>
    <w:rsid w:val="0044584A"/>
    <w:rsid w:val="00445F63"/>
    <w:rsid w:val="00446488"/>
    <w:rsid w:val="00446DB3"/>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60D3"/>
    <w:rsid w:val="00466688"/>
    <w:rsid w:val="004669E2"/>
    <w:rsid w:val="00467A58"/>
    <w:rsid w:val="00467BC6"/>
    <w:rsid w:val="00470A5C"/>
    <w:rsid w:val="00470C31"/>
    <w:rsid w:val="00470C60"/>
    <w:rsid w:val="004710F2"/>
    <w:rsid w:val="004713FB"/>
    <w:rsid w:val="00471D3F"/>
    <w:rsid w:val="00471DE0"/>
    <w:rsid w:val="00473143"/>
    <w:rsid w:val="004734D0"/>
    <w:rsid w:val="004736C8"/>
    <w:rsid w:val="004736CC"/>
    <w:rsid w:val="00473F46"/>
    <w:rsid w:val="004745AF"/>
    <w:rsid w:val="004750BA"/>
    <w:rsid w:val="00475125"/>
    <w:rsid w:val="0047556B"/>
    <w:rsid w:val="004756B9"/>
    <w:rsid w:val="00475F0F"/>
    <w:rsid w:val="00476B7A"/>
    <w:rsid w:val="00477768"/>
    <w:rsid w:val="004779F1"/>
    <w:rsid w:val="00480026"/>
    <w:rsid w:val="00480233"/>
    <w:rsid w:val="004808C3"/>
    <w:rsid w:val="00480C8B"/>
    <w:rsid w:val="0048295B"/>
    <w:rsid w:val="00482E2D"/>
    <w:rsid w:val="004831E3"/>
    <w:rsid w:val="004836DF"/>
    <w:rsid w:val="00483E97"/>
    <w:rsid w:val="00483EBB"/>
    <w:rsid w:val="00484084"/>
    <w:rsid w:val="004842A2"/>
    <w:rsid w:val="0048440B"/>
    <w:rsid w:val="004850C4"/>
    <w:rsid w:val="004857AB"/>
    <w:rsid w:val="00485D6D"/>
    <w:rsid w:val="00487A8D"/>
    <w:rsid w:val="00487BA7"/>
    <w:rsid w:val="00487D47"/>
    <w:rsid w:val="0049010D"/>
    <w:rsid w:val="004914B0"/>
    <w:rsid w:val="00491843"/>
    <w:rsid w:val="004925E4"/>
    <w:rsid w:val="00492BC5"/>
    <w:rsid w:val="00492D0C"/>
    <w:rsid w:val="00492FF2"/>
    <w:rsid w:val="004932F8"/>
    <w:rsid w:val="004964F1"/>
    <w:rsid w:val="004974C0"/>
    <w:rsid w:val="004A042B"/>
    <w:rsid w:val="004A16BC"/>
    <w:rsid w:val="004A2B7F"/>
    <w:rsid w:val="004A2B94"/>
    <w:rsid w:val="004A4A31"/>
    <w:rsid w:val="004A4FCA"/>
    <w:rsid w:val="004A54A0"/>
    <w:rsid w:val="004A6F51"/>
    <w:rsid w:val="004A7880"/>
    <w:rsid w:val="004A7D54"/>
    <w:rsid w:val="004B0526"/>
    <w:rsid w:val="004B1975"/>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1572"/>
    <w:rsid w:val="004C17BD"/>
    <w:rsid w:val="004C1AFD"/>
    <w:rsid w:val="004C1F58"/>
    <w:rsid w:val="004C2D54"/>
    <w:rsid w:val="004C2FE7"/>
    <w:rsid w:val="004C3898"/>
    <w:rsid w:val="004C38B7"/>
    <w:rsid w:val="004C3F95"/>
    <w:rsid w:val="004C4623"/>
    <w:rsid w:val="004C4AC2"/>
    <w:rsid w:val="004C6E44"/>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7EBD"/>
    <w:rsid w:val="004E01E8"/>
    <w:rsid w:val="004E0AE3"/>
    <w:rsid w:val="004E14AF"/>
    <w:rsid w:val="004E14FC"/>
    <w:rsid w:val="004E1BC7"/>
    <w:rsid w:val="004E223E"/>
    <w:rsid w:val="004E23BF"/>
    <w:rsid w:val="004E2680"/>
    <w:rsid w:val="004E28F9"/>
    <w:rsid w:val="004E390D"/>
    <w:rsid w:val="004E3BFB"/>
    <w:rsid w:val="004E462E"/>
    <w:rsid w:val="004E46E9"/>
    <w:rsid w:val="004E4875"/>
    <w:rsid w:val="004E53EC"/>
    <w:rsid w:val="004E56DC"/>
    <w:rsid w:val="004E58B5"/>
    <w:rsid w:val="004E5E3C"/>
    <w:rsid w:val="004E66CA"/>
    <w:rsid w:val="004E6890"/>
    <w:rsid w:val="004E6E10"/>
    <w:rsid w:val="004E72AC"/>
    <w:rsid w:val="004E76F4"/>
    <w:rsid w:val="004F09E3"/>
    <w:rsid w:val="004F0A0A"/>
    <w:rsid w:val="004F0AD3"/>
    <w:rsid w:val="004F0B4E"/>
    <w:rsid w:val="004F0B6C"/>
    <w:rsid w:val="004F1EAD"/>
    <w:rsid w:val="004F2078"/>
    <w:rsid w:val="004F341A"/>
    <w:rsid w:val="004F3AAE"/>
    <w:rsid w:val="004F3EA0"/>
    <w:rsid w:val="004F40FB"/>
    <w:rsid w:val="004F446D"/>
    <w:rsid w:val="004F4BC3"/>
    <w:rsid w:val="004F4DA3"/>
    <w:rsid w:val="004F7F15"/>
    <w:rsid w:val="004F7F56"/>
    <w:rsid w:val="005003D1"/>
    <w:rsid w:val="0050137E"/>
    <w:rsid w:val="0050212F"/>
    <w:rsid w:val="005021A2"/>
    <w:rsid w:val="00502489"/>
    <w:rsid w:val="00503F3C"/>
    <w:rsid w:val="0050480A"/>
    <w:rsid w:val="00505876"/>
    <w:rsid w:val="00505D57"/>
    <w:rsid w:val="00506557"/>
    <w:rsid w:val="0050677A"/>
    <w:rsid w:val="005108D8"/>
    <w:rsid w:val="00510949"/>
    <w:rsid w:val="00510B0E"/>
    <w:rsid w:val="005116C9"/>
    <w:rsid w:val="005116F9"/>
    <w:rsid w:val="00511A25"/>
    <w:rsid w:val="005121D0"/>
    <w:rsid w:val="00512A9A"/>
    <w:rsid w:val="00512CA0"/>
    <w:rsid w:val="005137A6"/>
    <w:rsid w:val="00513986"/>
    <w:rsid w:val="00513FFA"/>
    <w:rsid w:val="00514B0E"/>
    <w:rsid w:val="005151E8"/>
    <w:rsid w:val="005153A7"/>
    <w:rsid w:val="005155CB"/>
    <w:rsid w:val="0051612B"/>
    <w:rsid w:val="00516785"/>
    <w:rsid w:val="00516CC7"/>
    <w:rsid w:val="005172FD"/>
    <w:rsid w:val="00517309"/>
    <w:rsid w:val="00517A40"/>
    <w:rsid w:val="00517D92"/>
    <w:rsid w:val="005200FA"/>
    <w:rsid w:val="005201C9"/>
    <w:rsid w:val="0052070D"/>
    <w:rsid w:val="00520D84"/>
    <w:rsid w:val="005219CF"/>
    <w:rsid w:val="00521AC8"/>
    <w:rsid w:val="00521CFD"/>
    <w:rsid w:val="00522DD3"/>
    <w:rsid w:val="005230F7"/>
    <w:rsid w:val="00523AF7"/>
    <w:rsid w:val="00523D0C"/>
    <w:rsid w:val="005247FC"/>
    <w:rsid w:val="00524B16"/>
    <w:rsid w:val="00524BFF"/>
    <w:rsid w:val="005265F4"/>
    <w:rsid w:val="00527B9C"/>
    <w:rsid w:val="00527C66"/>
    <w:rsid w:val="00530C34"/>
    <w:rsid w:val="005316A3"/>
    <w:rsid w:val="00532260"/>
    <w:rsid w:val="00533946"/>
    <w:rsid w:val="00533BF0"/>
    <w:rsid w:val="00534B59"/>
    <w:rsid w:val="00534E04"/>
    <w:rsid w:val="00535783"/>
    <w:rsid w:val="00536759"/>
    <w:rsid w:val="00537447"/>
    <w:rsid w:val="00537B9D"/>
    <w:rsid w:val="00537C62"/>
    <w:rsid w:val="00537F93"/>
    <w:rsid w:val="0054206F"/>
    <w:rsid w:val="0054240D"/>
    <w:rsid w:val="00542910"/>
    <w:rsid w:val="0054411E"/>
    <w:rsid w:val="005455B9"/>
    <w:rsid w:val="00545F43"/>
    <w:rsid w:val="00545F54"/>
    <w:rsid w:val="00546970"/>
    <w:rsid w:val="00546D80"/>
    <w:rsid w:val="0054778F"/>
    <w:rsid w:val="00550A9E"/>
    <w:rsid w:val="00552790"/>
    <w:rsid w:val="005531F6"/>
    <w:rsid w:val="00553466"/>
    <w:rsid w:val="005538A6"/>
    <w:rsid w:val="00553DBF"/>
    <w:rsid w:val="00554E19"/>
    <w:rsid w:val="00554E21"/>
    <w:rsid w:val="00554E30"/>
    <w:rsid w:val="00555999"/>
    <w:rsid w:val="00555A0C"/>
    <w:rsid w:val="00556448"/>
    <w:rsid w:val="00556F68"/>
    <w:rsid w:val="005570D4"/>
    <w:rsid w:val="00557F9F"/>
    <w:rsid w:val="0056121F"/>
    <w:rsid w:val="00561A8D"/>
    <w:rsid w:val="005621F7"/>
    <w:rsid w:val="00562BE0"/>
    <w:rsid w:val="00562DFA"/>
    <w:rsid w:val="0056382C"/>
    <w:rsid w:val="00563A00"/>
    <w:rsid w:val="00563E88"/>
    <w:rsid w:val="005649CE"/>
    <w:rsid w:val="00564B5F"/>
    <w:rsid w:val="005653FB"/>
    <w:rsid w:val="005659D7"/>
    <w:rsid w:val="005666A3"/>
    <w:rsid w:val="00567F14"/>
    <w:rsid w:val="00570788"/>
    <w:rsid w:val="005715D4"/>
    <w:rsid w:val="00571944"/>
    <w:rsid w:val="005724DB"/>
    <w:rsid w:val="00572505"/>
    <w:rsid w:val="0057265E"/>
    <w:rsid w:val="00572CD0"/>
    <w:rsid w:val="005736AB"/>
    <w:rsid w:val="00574CD1"/>
    <w:rsid w:val="00576851"/>
    <w:rsid w:val="00577EDF"/>
    <w:rsid w:val="005801DF"/>
    <w:rsid w:val="00580F1D"/>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9FA"/>
    <w:rsid w:val="00595DCA"/>
    <w:rsid w:val="0059678A"/>
    <w:rsid w:val="00596880"/>
    <w:rsid w:val="0059689B"/>
    <w:rsid w:val="00596EF8"/>
    <w:rsid w:val="00597403"/>
    <w:rsid w:val="0059779B"/>
    <w:rsid w:val="00597A06"/>
    <w:rsid w:val="005A036E"/>
    <w:rsid w:val="005A06E9"/>
    <w:rsid w:val="005A209A"/>
    <w:rsid w:val="005A2379"/>
    <w:rsid w:val="005A2750"/>
    <w:rsid w:val="005A2756"/>
    <w:rsid w:val="005A29CD"/>
    <w:rsid w:val="005A29FD"/>
    <w:rsid w:val="005A6410"/>
    <w:rsid w:val="005A662D"/>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F83"/>
    <w:rsid w:val="005B7E0F"/>
    <w:rsid w:val="005C0643"/>
    <w:rsid w:val="005C0B37"/>
    <w:rsid w:val="005C14FF"/>
    <w:rsid w:val="005C26AB"/>
    <w:rsid w:val="005C2E7D"/>
    <w:rsid w:val="005C51EE"/>
    <w:rsid w:val="005C74FB"/>
    <w:rsid w:val="005C7BD1"/>
    <w:rsid w:val="005D0437"/>
    <w:rsid w:val="005D1288"/>
    <w:rsid w:val="005D1602"/>
    <w:rsid w:val="005D20E3"/>
    <w:rsid w:val="005D276F"/>
    <w:rsid w:val="005D31A5"/>
    <w:rsid w:val="005D3AB9"/>
    <w:rsid w:val="005D42FE"/>
    <w:rsid w:val="005D4F9A"/>
    <w:rsid w:val="005D5355"/>
    <w:rsid w:val="005D6372"/>
    <w:rsid w:val="005D6A76"/>
    <w:rsid w:val="005D6D1E"/>
    <w:rsid w:val="005D70B1"/>
    <w:rsid w:val="005D7B0B"/>
    <w:rsid w:val="005E0013"/>
    <w:rsid w:val="005E1238"/>
    <w:rsid w:val="005E149E"/>
    <w:rsid w:val="005E19C7"/>
    <w:rsid w:val="005E21ED"/>
    <w:rsid w:val="005E29D9"/>
    <w:rsid w:val="005E30F8"/>
    <w:rsid w:val="005E385F"/>
    <w:rsid w:val="005E3D23"/>
    <w:rsid w:val="005E5B81"/>
    <w:rsid w:val="005E6218"/>
    <w:rsid w:val="005E626C"/>
    <w:rsid w:val="005E71B7"/>
    <w:rsid w:val="005E766C"/>
    <w:rsid w:val="005E7E71"/>
    <w:rsid w:val="005E7EB2"/>
    <w:rsid w:val="005F0FAB"/>
    <w:rsid w:val="005F1727"/>
    <w:rsid w:val="005F2CB1"/>
    <w:rsid w:val="005F3025"/>
    <w:rsid w:val="005F40EB"/>
    <w:rsid w:val="005F4379"/>
    <w:rsid w:val="005F4B7A"/>
    <w:rsid w:val="005F4B85"/>
    <w:rsid w:val="005F4DE4"/>
    <w:rsid w:val="005F515D"/>
    <w:rsid w:val="005F54FE"/>
    <w:rsid w:val="005F618C"/>
    <w:rsid w:val="005F70BD"/>
    <w:rsid w:val="005F728B"/>
    <w:rsid w:val="005F78FD"/>
    <w:rsid w:val="005F7E54"/>
    <w:rsid w:val="006006E0"/>
    <w:rsid w:val="00601152"/>
    <w:rsid w:val="00601703"/>
    <w:rsid w:val="0060283C"/>
    <w:rsid w:val="006029B6"/>
    <w:rsid w:val="00602C0F"/>
    <w:rsid w:val="006034C8"/>
    <w:rsid w:val="0060375B"/>
    <w:rsid w:val="00603F09"/>
    <w:rsid w:val="00604F14"/>
    <w:rsid w:val="006070C7"/>
    <w:rsid w:val="0061081F"/>
    <w:rsid w:val="00611B83"/>
    <w:rsid w:val="006131D2"/>
    <w:rsid w:val="00613257"/>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663B"/>
    <w:rsid w:val="006279E0"/>
    <w:rsid w:val="00627CC3"/>
    <w:rsid w:val="00630001"/>
    <w:rsid w:val="00630DEB"/>
    <w:rsid w:val="00630FED"/>
    <w:rsid w:val="006311B3"/>
    <w:rsid w:val="00631D36"/>
    <w:rsid w:val="006327F8"/>
    <w:rsid w:val="0063284C"/>
    <w:rsid w:val="006328E3"/>
    <w:rsid w:val="0063321F"/>
    <w:rsid w:val="006335A4"/>
    <w:rsid w:val="00633A01"/>
    <w:rsid w:val="00633D36"/>
    <w:rsid w:val="00634676"/>
    <w:rsid w:val="00635A91"/>
    <w:rsid w:val="00636398"/>
    <w:rsid w:val="006368D3"/>
    <w:rsid w:val="00636F95"/>
    <w:rsid w:val="006373F3"/>
    <w:rsid w:val="006377EC"/>
    <w:rsid w:val="00637C24"/>
    <w:rsid w:val="0064090C"/>
    <w:rsid w:val="00640CBA"/>
    <w:rsid w:val="00640F52"/>
    <w:rsid w:val="00640F63"/>
    <w:rsid w:val="00641236"/>
    <w:rsid w:val="0064151F"/>
    <w:rsid w:val="00641533"/>
    <w:rsid w:val="0064208D"/>
    <w:rsid w:val="0064237C"/>
    <w:rsid w:val="006423EC"/>
    <w:rsid w:val="00642A8A"/>
    <w:rsid w:val="00643475"/>
    <w:rsid w:val="006436F9"/>
    <w:rsid w:val="0064396A"/>
    <w:rsid w:val="00643DDB"/>
    <w:rsid w:val="00644700"/>
    <w:rsid w:val="00644838"/>
    <w:rsid w:val="00644E1B"/>
    <w:rsid w:val="0064624E"/>
    <w:rsid w:val="00646ACC"/>
    <w:rsid w:val="00646D8C"/>
    <w:rsid w:val="00647336"/>
    <w:rsid w:val="00647DBB"/>
    <w:rsid w:val="00650AB9"/>
    <w:rsid w:val="006521A7"/>
    <w:rsid w:val="0065316B"/>
    <w:rsid w:val="00653680"/>
    <w:rsid w:val="0065479B"/>
    <w:rsid w:val="00655733"/>
    <w:rsid w:val="00655ACD"/>
    <w:rsid w:val="00656A92"/>
    <w:rsid w:val="00656C79"/>
    <w:rsid w:val="00656DDE"/>
    <w:rsid w:val="006573A5"/>
    <w:rsid w:val="00657775"/>
    <w:rsid w:val="00657F33"/>
    <w:rsid w:val="0066011D"/>
    <w:rsid w:val="00660199"/>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280F"/>
    <w:rsid w:val="00682D15"/>
    <w:rsid w:val="00682E73"/>
    <w:rsid w:val="00683ECE"/>
    <w:rsid w:val="0068406A"/>
    <w:rsid w:val="00684138"/>
    <w:rsid w:val="0068415C"/>
    <w:rsid w:val="0068506C"/>
    <w:rsid w:val="0068600C"/>
    <w:rsid w:val="00686467"/>
    <w:rsid w:val="006864DB"/>
    <w:rsid w:val="00687A8E"/>
    <w:rsid w:val="00687BEC"/>
    <w:rsid w:val="00690107"/>
    <w:rsid w:val="00692C14"/>
    <w:rsid w:val="00692FEF"/>
    <w:rsid w:val="00693784"/>
    <w:rsid w:val="00693F30"/>
    <w:rsid w:val="0069481A"/>
    <w:rsid w:val="006957F7"/>
    <w:rsid w:val="00695FC2"/>
    <w:rsid w:val="00696949"/>
    <w:rsid w:val="00696C3E"/>
    <w:rsid w:val="00697052"/>
    <w:rsid w:val="006A0F5D"/>
    <w:rsid w:val="006A242A"/>
    <w:rsid w:val="006A38CC"/>
    <w:rsid w:val="006A46FB"/>
    <w:rsid w:val="006A58DB"/>
    <w:rsid w:val="006A59D9"/>
    <w:rsid w:val="006A5E28"/>
    <w:rsid w:val="006A697B"/>
    <w:rsid w:val="006A7AFF"/>
    <w:rsid w:val="006B081E"/>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F08"/>
    <w:rsid w:val="006D7239"/>
    <w:rsid w:val="006D7248"/>
    <w:rsid w:val="006D7795"/>
    <w:rsid w:val="006E00B7"/>
    <w:rsid w:val="006E062C"/>
    <w:rsid w:val="006E0B05"/>
    <w:rsid w:val="006E0D1E"/>
    <w:rsid w:val="006E1C82"/>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346E"/>
    <w:rsid w:val="007035C4"/>
    <w:rsid w:val="0070405B"/>
    <w:rsid w:val="00704349"/>
    <w:rsid w:val="00704EDB"/>
    <w:rsid w:val="00705BF4"/>
    <w:rsid w:val="00705D4B"/>
    <w:rsid w:val="00705E54"/>
    <w:rsid w:val="00705FC3"/>
    <w:rsid w:val="00706029"/>
    <w:rsid w:val="00706101"/>
    <w:rsid w:val="00707072"/>
    <w:rsid w:val="00707D61"/>
    <w:rsid w:val="00707DE6"/>
    <w:rsid w:val="00710A09"/>
    <w:rsid w:val="00710F12"/>
    <w:rsid w:val="00711684"/>
    <w:rsid w:val="00711B88"/>
    <w:rsid w:val="00712287"/>
    <w:rsid w:val="00712772"/>
    <w:rsid w:val="007141B1"/>
    <w:rsid w:val="007148D3"/>
    <w:rsid w:val="0071580C"/>
    <w:rsid w:val="00715B9A"/>
    <w:rsid w:val="007163DA"/>
    <w:rsid w:val="00716D2A"/>
    <w:rsid w:val="00716F9F"/>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969"/>
    <w:rsid w:val="00732FC5"/>
    <w:rsid w:val="00734083"/>
    <w:rsid w:val="007342BF"/>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6DE6"/>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604B2"/>
    <w:rsid w:val="007605F6"/>
    <w:rsid w:val="007622C5"/>
    <w:rsid w:val="007631BA"/>
    <w:rsid w:val="00764022"/>
    <w:rsid w:val="00764DFA"/>
    <w:rsid w:val="00765281"/>
    <w:rsid w:val="007654B2"/>
    <w:rsid w:val="00765C7D"/>
    <w:rsid w:val="00766BAD"/>
    <w:rsid w:val="00767C75"/>
    <w:rsid w:val="00767CDD"/>
    <w:rsid w:val="00767EE8"/>
    <w:rsid w:val="007711E8"/>
    <w:rsid w:val="00771318"/>
    <w:rsid w:val="00771494"/>
    <w:rsid w:val="007715BE"/>
    <w:rsid w:val="007729A2"/>
    <w:rsid w:val="00772B62"/>
    <w:rsid w:val="007738B7"/>
    <w:rsid w:val="00773C88"/>
    <w:rsid w:val="00774352"/>
    <w:rsid w:val="00774C7C"/>
    <w:rsid w:val="007755F2"/>
    <w:rsid w:val="007766EB"/>
    <w:rsid w:val="00776971"/>
    <w:rsid w:val="007769F8"/>
    <w:rsid w:val="00776CBC"/>
    <w:rsid w:val="007806FC"/>
    <w:rsid w:val="00780A80"/>
    <w:rsid w:val="0078177E"/>
    <w:rsid w:val="007829A8"/>
    <w:rsid w:val="0078304C"/>
    <w:rsid w:val="007830F3"/>
    <w:rsid w:val="007832FD"/>
    <w:rsid w:val="00783673"/>
    <w:rsid w:val="00783E4C"/>
    <w:rsid w:val="00784EF4"/>
    <w:rsid w:val="00785490"/>
    <w:rsid w:val="00785712"/>
    <w:rsid w:val="0078780A"/>
    <w:rsid w:val="00787C18"/>
    <w:rsid w:val="0079005F"/>
    <w:rsid w:val="0079130B"/>
    <w:rsid w:val="007925EA"/>
    <w:rsid w:val="00793CD8"/>
    <w:rsid w:val="00795C92"/>
    <w:rsid w:val="00795D47"/>
    <w:rsid w:val="00796231"/>
    <w:rsid w:val="007963F8"/>
    <w:rsid w:val="00797AF2"/>
    <w:rsid w:val="00797F95"/>
    <w:rsid w:val="007A0102"/>
    <w:rsid w:val="007A07B3"/>
    <w:rsid w:val="007A19DC"/>
    <w:rsid w:val="007A1CB3"/>
    <w:rsid w:val="007A248A"/>
    <w:rsid w:val="007A306F"/>
    <w:rsid w:val="007A3331"/>
    <w:rsid w:val="007A335F"/>
    <w:rsid w:val="007A3DEA"/>
    <w:rsid w:val="007A43A6"/>
    <w:rsid w:val="007A5300"/>
    <w:rsid w:val="007A58A6"/>
    <w:rsid w:val="007A5AB7"/>
    <w:rsid w:val="007A5B58"/>
    <w:rsid w:val="007A5BB4"/>
    <w:rsid w:val="007A6BD7"/>
    <w:rsid w:val="007A7745"/>
    <w:rsid w:val="007B012B"/>
    <w:rsid w:val="007B15A4"/>
    <w:rsid w:val="007B2191"/>
    <w:rsid w:val="007B22B0"/>
    <w:rsid w:val="007B239E"/>
    <w:rsid w:val="007B3D2D"/>
    <w:rsid w:val="007B49D9"/>
    <w:rsid w:val="007B4E87"/>
    <w:rsid w:val="007B4F49"/>
    <w:rsid w:val="007B50AE"/>
    <w:rsid w:val="007B51DF"/>
    <w:rsid w:val="007B570B"/>
    <w:rsid w:val="007B5BF6"/>
    <w:rsid w:val="007B6580"/>
    <w:rsid w:val="007B693F"/>
    <w:rsid w:val="007B69B7"/>
    <w:rsid w:val="007C0286"/>
    <w:rsid w:val="007C05DD"/>
    <w:rsid w:val="007C3D18"/>
    <w:rsid w:val="007C544F"/>
    <w:rsid w:val="007C560A"/>
    <w:rsid w:val="007C568E"/>
    <w:rsid w:val="007C5B66"/>
    <w:rsid w:val="007C60BF"/>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C19"/>
    <w:rsid w:val="007D1DB6"/>
    <w:rsid w:val="007D2FAD"/>
    <w:rsid w:val="007D3106"/>
    <w:rsid w:val="007D3AC4"/>
    <w:rsid w:val="007D4A39"/>
    <w:rsid w:val="007D5901"/>
    <w:rsid w:val="007D5AB6"/>
    <w:rsid w:val="007D7526"/>
    <w:rsid w:val="007E0126"/>
    <w:rsid w:val="007E0141"/>
    <w:rsid w:val="007E01A1"/>
    <w:rsid w:val="007E03ED"/>
    <w:rsid w:val="007E05BC"/>
    <w:rsid w:val="007E0CDD"/>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7066"/>
    <w:rsid w:val="007E7091"/>
    <w:rsid w:val="007E70B1"/>
    <w:rsid w:val="007F02CE"/>
    <w:rsid w:val="007F04CA"/>
    <w:rsid w:val="007F0AC2"/>
    <w:rsid w:val="007F0AEF"/>
    <w:rsid w:val="007F17D8"/>
    <w:rsid w:val="007F1EBD"/>
    <w:rsid w:val="007F2181"/>
    <w:rsid w:val="007F3090"/>
    <w:rsid w:val="007F443E"/>
    <w:rsid w:val="007F490B"/>
    <w:rsid w:val="007F49F7"/>
    <w:rsid w:val="007F5F83"/>
    <w:rsid w:val="007F66BA"/>
    <w:rsid w:val="007F77A4"/>
    <w:rsid w:val="007F794C"/>
    <w:rsid w:val="00800E2F"/>
    <w:rsid w:val="008014B3"/>
    <w:rsid w:val="008016E0"/>
    <w:rsid w:val="008028AD"/>
    <w:rsid w:val="00802A67"/>
    <w:rsid w:val="00803650"/>
    <w:rsid w:val="00803FAE"/>
    <w:rsid w:val="008043F9"/>
    <w:rsid w:val="00805350"/>
    <w:rsid w:val="00805891"/>
    <w:rsid w:val="0080605F"/>
    <w:rsid w:val="00806429"/>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E91"/>
    <w:rsid w:val="008170B7"/>
    <w:rsid w:val="00817161"/>
    <w:rsid w:val="00817196"/>
    <w:rsid w:val="00817222"/>
    <w:rsid w:val="00820231"/>
    <w:rsid w:val="00820318"/>
    <w:rsid w:val="008208CB"/>
    <w:rsid w:val="008215B1"/>
    <w:rsid w:val="0082187C"/>
    <w:rsid w:val="00821C6B"/>
    <w:rsid w:val="00823013"/>
    <w:rsid w:val="008235D3"/>
    <w:rsid w:val="008235DB"/>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3BC4"/>
    <w:rsid w:val="0083407C"/>
    <w:rsid w:val="0083436A"/>
    <w:rsid w:val="00834399"/>
    <w:rsid w:val="00837315"/>
    <w:rsid w:val="008376AC"/>
    <w:rsid w:val="00840581"/>
    <w:rsid w:val="0084099B"/>
    <w:rsid w:val="00841A15"/>
    <w:rsid w:val="00841B3B"/>
    <w:rsid w:val="008427E4"/>
    <w:rsid w:val="008429D1"/>
    <w:rsid w:val="00842D40"/>
    <w:rsid w:val="008440D5"/>
    <w:rsid w:val="008444E8"/>
    <w:rsid w:val="00844E80"/>
    <w:rsid w:val="008466E7"/>
    <w:rsid w:val="00846FE7"/>
    <w:rsid w:val="00847830"/>
    <w:rsid w:val="008513C0"/>
    <w:rsid w:val="008526D4"/>
    <w:rsid w:val="00852AD8"/>
    <w:rsid w:val="00853DB1"/>
    <w:rsid w:val="00854491"/>
    <w:rsid w:val="00854846"/>
    <w:rsid w:val="00854A0F"/>
    <w:rsid w:val="00855C37"/>
    <w:rsid w:val="00855DC9"/>
    <w:rsid w:val="00856911"/>
    <w:rsid w:val="00856E24"/>
    <w:rsid w:val="0085799A"/>
    <w:rsid w:val="00857B6B"/>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CD3"/>
    <w:rsid w:val="00875CD7"/>
    <w:rsid w:val="00876B4D"/>
    <w:rsid w:val="0087733A"/>
    <w:rsid w:val="00877F18"/>
    <w:rsid w:val="00880015"/>
    <w:rsid w:val="00880350"/>
    <w:rsid w:val="00881D3C"/>
    <w:rsid w:val="00881DFB"/>
    <w:rsid w:val="00884942"/>
    <w:rsid w:val="008851AD"/>
    <w:rsid w:val="0088786A"/>
    <w:rsid w:val="00890FCA"/>
    <w:rsid w:val="00891F07"/>
    <w:rsid w:val="008941E3"/>
    <w:rsid w:val="00894369"/>
    <w:rsid w:val="00894A88"/>
    <w:rsid w:val="00895148"/>
    <w:rsid w:val="00895386"/>
    <w:rsid w:val="00895B7B"/>
    <w:rsid w:val="00896963"/>
    <w:rsid w:val="008A015F"/>
    <w:rsid w:val="008A13FC"/>
    <w:rsid w:val="008A16B7"/>
    <w:rsid w:val="008A1BAC"/>
    <w:rsid w:val="008A1F60"/>
    <w:rsid w:val="008A21FF"/>
    <w:rsid w:val="008A25C8"/>
    <w:rsid w:val="008A2CE2"/>
    <w:rsid w:val="008A30AC"/>
    <w:rsid w:val="008A34B5"/>
    <w:rsid w:val="008A3917"/>
    <w:rsid w:val="008A3BAB"/>
    <w:rsid w:val="008A44B8"/>
    <w:rsid w:val="008A4EF7"/>
    <w:rsid w:val="008A51A8"/>
    <w:rsid w:val="008A54C7"/>
    <w:rsid w:val="008A57E2"/>
    <w:rsid w:val="008A6624"/>
    <w:rsid w:val="008A684A"/>
    <w:rsid w:val="008A6C47"/>
    <w:rsid w:val="008A6EC4"/>
    <w:rsid w:val="008A75C8"/>
    <w:rsid w:val="008A77D8"/>
    <w:rsid w:val="008B0483"/>
    <w:rsid w:val="008B071F"/>
    <w:rsid w:val="008B120C"/>
    <w:rsid w:val="008B12F0"/>
    <w:rsid w:val="008B1ABC"/>
    <w:rsid w:val="008B392B"/>
    <w:rsid w:val="008B4225"/>
    <w:rsid w:val="008B4A46"/>
    <w:rsid w:val="008B51A0"/>
    <w:rsid w:val="008B592A"/>
    <w:rsid w:val="008B5B9B"/>
    <w:rsid w:val="008B5F99"/>
    <w:rsid w:val="008B6107"/>
    <w:rsid w:val="008B6113"/>
    <w:rsid w:val="008B635B"/>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012"/>
    <w:rsid w:val="008D6673"/>
    <w:rsid w:val="008D6D1A"/>
    <w:rsid w:val="008D737C"/>
    <w:rsid w:val="008D7BA9"/>
    <w:rsid w:val="008D7BBC"/>
    <w:rsid w:val="008E065E"/>
    <w:rsid w:val="008E0665"/>
    <w:rsid w:val="008E074F"/>
    <w:rsid w:val="008E0927"/>
    <w:rsid w:val="008E1025"/>
    <w:rsid w:val="008E145C"/>
    <w:rsid w:val="008E1909"/>
    <w:rsid w:val="008E1971"/>
    <w:rsid w:val="008E3980"/>
    <w:rsid w:val="008E3CCB"/>
    <w:rsid w:val="008E460B"/>
    <w:rsid w:val="008E54C5"/>
    <w:rsid w:val="008E6348"/>
    <w:rsid w:val="008E6845"/>
    <w:rsid w:val="008E6A0A"/>
    <w:rsid w:val="008E6A9B"/>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BA"/>
    <w:rsid w:val="00902350"/>
    <w:rsid w:val="00902C80"/>
    <w:rsid w:val="00902CDD"/>
    <w:rsid w:val="0090336B"/>
    <w:rsid w:val="009053AA"/>
    <w:rsid w:val="009055E4"/>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A5"/>
    <w:rsid w:val="00916079"/>
    <w:rsid w:val="0091688B"/>
    <w:rsid w:val="00916A9F"/>
    <w:rsid w:val="00917CE9"/>
    <w:rsid w:val="009203D7"/>
    <w:rsid w:val="0092075B"/>
    <w:rsid w:val="00920BF2"/>
    <w:rsid w:val="00920EDE"/>
    <w:rsid w:val="009219C0"/>
    <w:rsid w:val="00921ED3"/>
    <w:rsid w:val="00922010"/>
    <w:rsid w:val="00922580"/>
    <w:rsid w:val="00922BDB"/>
    <w:rsid w:val="0092393A"/>
    <w:rsid w:val="0092642B"/>
    <w:rsid w:val="009267B9"/>
    <w:rsid w:val="0092787C"/>
    <w:rsid w:val="00927A44"/>
    <w:rsid w:val="00927D43"/>
    <w:rsid w:val="00930DFA"/>
    <w:rsid w:val="00931BD9"/>
    <w:rsid w:val="009330EB"/>
    <w:rsid w:val="009346DF"/>
    <w:rsid w:val="00934D16"/>
    <w:rsid w:val="00935C9B"/>
    <w:rsid w:val="009368F3"/>
    <w:rsid w:val="00937330"/>
    <w:rsid w:val="00940018"/>
    <w:rsid w:val="00940821"/>
    <w:rsid w:val="009410B2"/>
    <w:rsid w:val="00941636"/>
    <w:rsid w:val="0094191A"/>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30B1"/>
    <w:rsid w:val="00953920"/>
    <w:rsid w:val="00953D47"/>
    <w:rsid w:val="009548BB"/>
    <w:rsid w:val="00954C52"/>
    <w:rsid w:val="009550BC"/>
    <w:rsid w:val="0095570D"/>
    <w:rsid w:val="00956256"/>
    <w:rsid w:val="00956756"/>
    <w:rsid w:val="0095681E"/>
    <w:rsid w:val="00956DEF"/>
    <w:rsid w:val="009572D4"/>
    <w:rsid w:val="0096000A"/>
    <w:rsid w:val="009606A6"/>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7065C"/>
    <w:rsid w:val="00970CE2"/>
    <w:rsid w:val="00971349"/>
    <w:rsid w:val="009718AA"/>
    <w:rsid w:val="00971B89"/>
    <w:rsid w:val="00971F08"/>
    <w:rsid w:val="00972E61"/>
    <w:rsid w:val="00973252"/>
    <w:rsid w:val="009739CC"/>
    <w:rsid w:val="009744D6"/>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5049"/>
    <w:rsid w:val="00985253"/>
    <w:rsid w:val="009853B3"/>
    <w:rsid w:val="0098548C"/>
    <w:rsid w:val="00985614"/>
    <w:rsid w:val="00985ADC"/>
    <w:rsid w:val="009861AD"/>
    <w:rsid w:val="00990630"/>
    <w:rsid w:val="00991761"/>
    <w:rsid w:val="009919C3"/>
    <w:rsid w:val="00991AB0"/>
    <w:rsid w:val="009920C4"/>
    <w:rsid w:val="009926B1"/>
    <w:rsid w:val="00993533"/>
    <w:rsid w:val="0099353E"/>
    <w:rsid w:val="00993E10"/>
    <w:rsid w:val="009943B3"/>
    <w:rsid w:val="00994DCA"/>
    <w:rsid w:val="00994F31"/>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462D"/>
    <w:rsid w:val="009A4F8C"/>
    <w:rsid w:val="009A5422"/>
    <w:rsid w:val="009A55F9"/>
    <w:rsid w:val="009A582E"/>
    <w:rsid w:val="009A5955"/>
    <w:rsid w:val="009A5CBA"/>
    <w:rsid w:val="009A6493"/>
    <w:rsid w:val="009A6789"/>
    <w:rsid w:val="009B0872"/>
    <w:rsid w:val="009B0AB3"/>
    <w:rsid w:val="009B1646"/>
    <w:rsid w:val="009B1F30"/>
    <w:rsid w:val="009B217C"/>
    <w:rsid w:val="009B28A2"/>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3269"/>
    <w:rsid w:val="009C34E4"/>
    <w:rsid w:val="009C403E"/>
    <w:rsid w:val="009C5904"/>
    <w:rsid w:val="009C5C1E"/>
    <w:rsid w:val="009C5D67"/>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21"/>
    <w:rsid w:val="009D4FF0"/>
    <w:rsid w:val="009D521D"/>
    <w:rsid w:val="009D5250"/>
    <w:rsid w:val="009D5E6E"/>
    <w:rsid w:val="009D6838"/>
    <w:rsid w:val="009D6D44"/>
    <w:rsid w:val="009D703C"/>
    <w:rsid w:val="009D718F"/>
    <w:rsid w:val="009D7CF9"/>
    <w:rsid w:val="009E068F"/>
    <w:rsid w:val="009E071B"/>
    <w:rsid w:val="009E14E0"/>
    <w:rsid w:val="009E1C4E"/>
    <w:rsid w:val="009E21F2"/>
    <w:rsid w:val="009E35DB"/>
    <w:rsid w:val="009E3C9A"/>
    <w:rsid w:val="009E44C7"/>
    <w:rsid w:val="009E452F"/>
    <w:rsid w:val="009E47A3"/>
    <w:rsid w:val="009E4860"/>
    <w:rsid w:val="009E565A"/>
    <w:rsid w:val="009E609C"/>
    <w:rsid w:val="009E63A1"/>
    <w:rsid w:val="009E6DB6"/>
    <w:rsid w:val="009F01F6"/>
    <w:rsid w:val="009F025C"/>
    <w:rsid w:val="009F05BE"/>
    <w:rsid w:val="009F08F3"/>
    <w:rsid w:val="009F0A93"/>
    <w:rsid w:val="009F0E87"/>
    <w:rsid w:val="009F344F"/>
    <w:rsid w:val="009F399E"/>
    <w:rsid w:val="009F3A44"/>
    <w:rsid w:val="009F4FAC"/>
    <w:rsid w:val="009F50ED"/>
    <w:rsid w:val="009F5494"/>
    <w:rsid w:val="009F5B52"/>
    <w:rsid w:val="009F5F37"/>
    <w:rsid w:val="009F7076"/>
    <w:rsid w:val="009F7975"/>
    <w:rsid w:val="00A00B24"/>
    <w:rsid w:val="00A01740"/>
    <w:rsid w:val="00A02DF2"/>
    <w:rsid w:val="00A031D8"/>
    <w:rsid w:val="00A0375C"/>
    <w:rsid w:val="00A03A39"/>
    <w:rsid w:val="00A048A8"/>
    <w:rsid w:val="00A04F49"/>
    <w:rsid w:val="00A05170"/>
    <w:rsid w:val="00A05558"/>
    <w:rsid w:val="00A05D98"/>
    <w:rsid w:val="00A060EE"/>
    <w:rsid w:val="00A06D61"/>
    <w:rsid w:val="00A06EEC"/>
    <w:rsid w:val="00A07809"/>
    <w:rsid w:val="00A10841"/>
    <w:rsid w:val="00A11004"/>
    <w:rsid w:val="00A113D3"/>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A55"/>
    <w:rsid w:val="00A26DCF"/>
    <w:rsid w:val="00A27785"/>
    <w:rsid w:val="00A27966"/>
    <w:rsid w:val="00A30187"/>
    <w:rsid w:val="00A304C9"/>
    <w:rsid w:val="00A30AEF"/>
    <w:rsid w:val="00A30CC8"/>
    <w:rsid w:val="00A328FD"/>
    <w:rsid w:val="00A32CF5"/>
    <w:rsid w:val="00A333EC"/>
    <w:rsid w:val="00A336F7"/>
    <w:rsid w:val="00A3448A"/>
    <w:rsid w:val="00A34B22"/>
    <w:rsid w:val="00A34BFF"/>
    <w:rsid w:val="00A35A5E"/>
    <w:rsid w:val="00A35D85"/>
    <w:rsid w:val="00A3619C"/>
    <w:rsid w:val="00A36297"/>
    <w:rsid w:val="00A36DB7"/>
    <w:rsid w:val="00A3765C"/>
    <w:rsid w:val="00A37AA4"/>
    <w:rsid w:val="00A37BA1"/>
    <w:rsid w:val="00A40CA7"/>
    <w:rsid w:val="00A40FB0"/>
    <w:rsid w:val="00A4125A"/>
    <w:rsid w:val="00A413D6"/>
    <w:rsid w:val="00A41BE7"/>
    <w:rsid w:val="00A41E2B"/>
    <w:rsid w:val="00A41E85"/>
    <w:rsid w:val="00A425C4"/>
    <w:rsid w:val="00A4347B"/>
    <w:rsid w:val="00A4369A"/>
    <w:rsid w:val="00A44A75"/>
    <w:rsid w:val="00A4532F"/>
    <w:rsid w:val="00A45B74"/>
    <w:rsid w:val="00A46338"/>
    <w:rsid w:val="00A463B0"/>
    <w:rsid w:val="00A47EB8"/>
    <w:rsid w:val="00A50E53"/>
    <w:rsid w:val="00A512A9"/>
    <w:rsid w:val="00A51441"/>
    <w:rsid w:val="00A51549"/>
    <w:rsid w:val="00A517AC"/>
    <w:rsid w:val="00A524B9"/>
    <w:rsid w:val="00A52E1D"/>
    <w:rsid w:val="00A53B2C"/>
    <w:rsid w:val="00A55755"/>
    <w:rsid w:val="00A558B0"/>
    <w:rsid w:val="00A56FA9"/>
    <w:rsid w:val="00A5701C"/>
    <w:rsid w:val="00A5746D"/>
    <w:rsid w:val="00A57BE6"/>
    <w:rsid w:val="00A61499"/>
    <w:rsid w:val="00A629B6"/>
    <w:rsid w:val="00A62A77"/>
    <w:rsid w:val="00A63064"/>
    <w:rsid w:val="00A63483"/>
    <w:rsid w:val="00A639D4"/>
    <w:rsid w:val="00A65050"/>
    <w:rsid w:val="00A657D7"/>
    <w:rsid w:val="00A660AC"/>
    <w:rsid w:val="00A66812"/>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447A"/>
    <w:rsid w:val="00A7520D"/>
    <w:rsid w:val="00A7589E"/>
    <w:rsid w:val="00A761D4"/>
    <w:rsid w:val="00A7694F"/>
    <w:rsid w:val="00A76D96"/>
    <w:rsid w:val="00A77E8E"/>
    <w:rsid w:val="00A77EC4"/>
    <w:rsid w:val="00A80318"/>
    <w:rsid w:val="00A8237E"/>
    <w:rsid w:val="00A827F3"/>
    <w:rsid w:val="00A84BEE"/>
    <w:rsid w:val="00A866BF"/>
    <w:rsid w:val="00A874E0"/>
    <w:rsid w:val="00A903D2"/>
    <w:rsid w:val="00A90814"/>
    <w:rsid w:val="00A90A74"/>
    <w:rsid w:val="00A91019"/>
    <w:rsid w:val="00A915C0"/>
    <w:rsid w:val="00A916BB"/>
    <w:rsid w:val="00A91DCB"/>
    <w:rsid w:val="00A92879"/>
    <w:rsid w:val="00A92A6E"/>
    <w:rsid w:val="00A9361F"/>
    <w:rsid w:val="00A93666"/>
    <w:rsid w:val="00A9442A"/>
    <w:rsid w:val="00A96CDF"/>
    <w:rsid w:val="00A96DFC"/>
    <w:rsid w:val="00A97EB1"/>
    <w:rsid w:val="00AA016F"/>
    <w:rsid w:val="00AA16A6"/>
    <w:rsid w:val="00AA18C6"/>
    <w:rsid w:val="00AA1ED6"/>
    <w:rsid w:val="00AA2684"/>
    <w:rsid w:val="00AA2C81"/>
    <w:rsid w:val="00AA2FB9"/>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2044"/>
    <w:rsid w:val="00AC29D7"/>
    <w:rsid w:val="00AC2ECD"/>
    <w:rsid w:val="00AC3119"/>
    <w:rsid w:val="00AC344C"/>
    <w:rsid w:val="00AC40CC"/>
    <w:rsid w:val="00AC49FB"/>
    <w:rsid w:val="00AC55DC"/>
    <w:rsid w:val="00AC5899"/>
    <w:rsid w:val="00AC5A10"/>
    <w:rsid w:val="00AD0661"/>
    <w:rsid w:val="00AD07A9"/>
    <w:rsid w:val="00AD0AA3"/>
    <w:rsid w:val="00AD0F4B"/>
    <w:rsid w:val="00AD16EE"/>
    <w:rsid w:val="00AD24DD"/>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4F5B"/>
    <w:rsid w:val="00AE54A8"/>
    <w:rsid w:val="00AE5606"/>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AA9"/>
    <w:rsid w:val="00B02FA3"/>
    <w:rsid w:val="00B0333C"/>
    <w:rsid w:val="00B034CE"/>
    <w:rsid w:val="00B04C01"/>
    <w:rsid w:val="00B0508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D34"/>
    <w:rsid w:val="00B17F39"/>
    <w:rsid w:val="00B20256"/>
    <w:rsid w:val="00B20AC2"/>
    <w:rsid w:val="00B20D09"/>
    <w:rsid w:val="00B21676"/>
    <w:rsid w:val="00B21C59"/>
    <w:rsid w:val="00B22516"/>
    <w:rsid w:val="00B2322A"/>
    <w:rsid w:val="00B25228"/>
    <w:rsid w:val="00B260D8"/>
    <w:rsid w:val="00B267B7"/>
    <w:rsid w:val="00B267C3"/>
    <w:rsid w:val="00B26E4F"/>
    <w:rsid w:val="00B2763F"/>
    <w:rsid w:val="00B27AAC"/>
    <w:rsid w:val="00B30491"/>
    <w:rsid w:val="00B30929"/>
    <w:rsid w:val="00B30C3F"/>
    <w:rsid w:val="00B31586"/>
    <w:rsid w:val="00B31739"/>
    <w:rsid w:val="00B31764"/>
    <w:rsid w:val="00B320D0"/>
    <w:rsid w:val="00B32E75"/>
    <w:rsid w:val="00B32EE4"/>
    <w:rsid w:val="00B3312F"/>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2F41"/>
    <w:rsid w:val="00B4373E"/>
    <w:rsid w:val="00B44087"/>
    <w:rsid w:val="00B44647"/>
    <w:rsid w:val="00B446CC"/>
    <w:rsid w:val="00B45670"/>
    <w:rsid w:val="00B45A52"/>
    <w:rsid w:val="00B45D73"/>
    <w:rsid w:val="00B4615A"/>
    <w:rsid w:val="00B46175"/>
    <w:rsid w:val="00B509C7"/>
    <w:rsid w:val="00B52F97"/>
    <w:rsid w:val="00B53176"/>
    <w:rsid w:val="00B532AB"/>
    <w:rsid w:val="00B53A23"/>
    <w:rsid w:val="00B54657"/>
    <w:rsid w:val="00B548B7"/>
    <w:rsid w:val="00B54BF6"/>
    <w:rsid w:val="00B55313"/>
    <w:rsid w:val="00B55E9B"/>
    <w:rsid w:val="00B56E9F"/>
    <w:rsid w:val="00B5796D"/>
    <w:rsid w:val="00B60139"/>
    <w:rsid w:val="00B61052"/>
    <w:rsid w:val="00B61DC0"/>
    <w:rsid w:val="00B62417"/>
    <w:rsid w:val="00B62C0C"/>
    <w:rsid w:val="00B62FF6"/>
    <w:rsid w:val="00B63926"/>
    <w:rsid w:val="00B64A5D"/>
    <w:rsid w:val="00B65304"/>
    <w:rsid w:val="00B65F0A"/>
    <w:rsid w:val="00B664C7"/>
    <w:rsid w:val="00B66940"/>
    <w:rsid w:val="00B669F1"/>
    <w:rsid w:val="00B66FFE"/>
    <w:rsid w:val="00B67BD3"/>
    <w:rsid w:val="00B67CB4"/>
    <w:rsid w:val="00B67D7D"/>
    <w:rsid w:val="00B70A22"/>
    <w:rsid w:val="00B70F6D"/>
    <w:rsid w:val="00B7151F"/>
    <w:rsid w:val="00B7217F"/>
    <w:rsid w:val="00B7224D"/>
    <w:rsid w:val="00B72535"/>
    <w:rsid w:val="00B73348"/>
    <w:rsid w:val="00B73990"/>
    <w:rsid w:val="00B739F6"/>
    <w:rsid w:val="00B73C7C"/>
    <w:rsid w:val="00B749FC"/>
    <w:rsid w:val="00B74C53"/>
    <w:rsid w:val="00B779D1"/>
    <w:rsid w:val="00B80194"/>
    <w:rsid w:val="00B81348"/>
    <w:rsid w:val="00B81747"/>
    <w:rsid w:val="00B818AA"/>
    <w:rsid w:val="00B81A6C"/>
    <w:rsid w:val="00B83CD4"/>
    <w:rsid w:val="00B841A2"/>
    <w:rsid w:val="00B84263"/>
    <w:rsid w:val="00B85DE5"/>
    <w:rsid w:val="00B86424"/>
    <w:rsid w:val="00B864D2"/>
    <w:rsid w:val="00B86B06"/>
    <w:rsid w:val="00B87961"/>
    <w:rsid w:val="00B87BC1"/>
    <w:rsid w:val="00B90414"/>
    <w:rsid w:val="00B907F6"/>
    <w:rsid w:val="00B90F73"/>
    <w:rsid w:val="00B92068"/>
    <w:rsid w:val="00B929C2"/>
    <w:rsid w:val="00B93B59"/>
    <w:rsid w:val="00B9406A"/>
    <w:rsid w:val="00B94B76"/>
    <w:rsid w:val="00B955E4"/>
    <w:rsid w:val="00B958AE"/>
    <w:rsid w:val="00B96179"/>
    <w:rsid w:val="00B96446"/>
    <w:rsid w:val="00B969C6"/>
    <w:rsid w:val="00B96BEC"/>
    <w:rsid w:val="00B97523"/>
    <w:rsid w:val="00BA0874"/>
    <w:rsid w:val="00BA1658"/>
    <w:rsid w:val="00BA2280"/>
    <w:rsid w:val="00BA2663"/>
    <w:rsid w:val="00BA2A08"/>
    <w:rsid w:val="00BA39CF"/>
    <w:rsid w:val="00BA3E38"/>
    <w:rsid w:val="00BA3E9A"/>
    <w:rsid w:val="00BA4E90"/>
    <w:rsid w:val="00BA56D2"/>
    <w:rsid w:val="00BA68D7"/>
    <w:rsid w:val="00BA750F"/>
    <w:rsid w:val="00BA76E0"/>
    <w:rsid w:val="00BB0160"/>
    <w:rsid w:val="00BB0257"/>
    <w:rsid w:val="00BB04DE"/>
    <w:rsid w:val="00BB0A79"/>
    <w:rsid w:val="00BB0B25"/>
    <w:rsid w:val="00BB13E0"/>
    <w:rsid w:val="00BB22AA"/>
    <w:rsid w:val="00BB290F"/>
    <w:rsid w:val="00BB2972"/>
    <w:rsid w:val="00BB2A25"/>
    <w:rsid w:val="00BB4036"/>
    <w:rsid w:val="00BB4434"/>
    <w:rsid w:val="00BB51E9"/>
    <w:rsid w:val="00BB52E5"/>
    <w:rsid w:val="00BB5F21"/>
    <w:rsid w:val="00BB6476"/>
    <w:rsid w:val="00BB6D51"/>
    <w:rsid w:val="00BC0F0D"/>
    <w:rsid w:val="00BC0F37"/>
    <w:rsid w:val="00BC0FDC"/>
    <w:rsid w:val="00BC1790"/>
    <w:rsid w:val="00BC1F13"/>
    <w:rsid w:val="00BC2EC1"/>
    <w:rsid w:val="00BC3053"/>
    <w:rsid w:val="00BC3CB9"/>
    <w:rsid w:val="00BC43FE"/>
    <w:rsid w:val="00BC4833"/>
    <w:rsid w:val="00BC4D2E"/>
    <w:rsid w:val="00BC59D2"/>
    <w:rsid w:val="00BC5D2B"/>
    <w:rsid w:val="00BC60ED"/>
    <w:rsid w:val="00BC66AB"/>
    <w:rsid w:val="00BC704C"/>
    <w:rsid w:val="00BC797C"/>
    <w:rsid w:val="00BC7F23"/>
    <w:rsid w:val="00BD0008"/>
    <w:rsid w:val="00BD0909"/>
    <w:rsid w:val="00BD2016"/>
    <w:rsid w:val="00BD262E"/>
    <w:rsid w:val="00BD2F3F"/>
    <w:rsid w:val="00BD3BCA"/>
    <w:rsid w:val="00BD3DA0"/>
    <w:rsid w:val="00BD3E0F"/>
    <w:rsid w:val="00BD448D"/>
    <w:rsid w:val="00BD48AC"/>
    <w:rsid w:val="00BD4DDD"/>
    <w:rsid w:val="00BD4DF7"/>
    <w:rsid w:val="00BD4F96"/>
    <w:rsid w:val="00BD51F5"/>
    <w:rsid w:val="00BD51FD"/>
    <w:rsid w:val="00BD52CA"/>
    <w:rsid w:val="00BD5557"/>
    <w:rsid w:val="00BD5E72"/>
    <w:rsid w:val="00BD5F1A"/>
    <w:rsid w:val="00BD644F"/>
    <w:rsid w:val="00BD78B0"/>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05BB"/>
    <w:rsid w:val="00BF165B"/>
    <w:rsid w:val="00BF1C2E"/>
    <w:rsid w:val="00BF3279"/>
    <w:rsid w:val="00BF3DF7"/>
    <w:rsid w:val="00BF405D"/>
    <w:rsid w:val="00BF42CC"/>
    <w:rsid w:val="00BF5220"/>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10478"/>
    <w:rsid w:val="00C11BDC"/>
    <w:rsid w:val="00C12107"/>
    <w:rsid w:val="00C135C0"/>
    <w:rsid w:val="00C137A9"/>
    <w:rsid w:val="00C138C7"/>
    <w:rsid w:val="00C13904"/>
    <w:rsid w:val="00C13E72"/>
    <w:rsid w:val="00C13F07"/>
    <w:rsid w:val="00C14116"/>
    <w:rsid w:val="00C14C4A"/>
    <w:rsid w:val="00C14D4B"/>
    <w:rsid w:val="00C1514D"/>
    <w:rsid w:val="00C154BB"/>
    <w:rsid w:val="00C16025"/>
    <w:rsid w:val="00C165D9"/>
    <w:rsid w:val="00C1696D"/>
    <w:rsid w:val="00C170D0"/>
    <w:rsid w:val="00C1768E"/>
    <w:rsid w:val="00C2003C"/>
    <w:rsid w:val="00C20C2A"/>
    <w:rsid w:val="00C20F63"/>
    <w:rsid w:val="00C2151C"/>
    <w:rsid w:val="00C21B17"/>
    <w:rsid w:val="00C2232D"/>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BE0"/>
    <w:rsid w:val="00C30C89"/>
    <w:rsid w:val="00C316EF"/>
    <w:rsid w:val="00C337DB"/>
    <w:rsid w:val="00C33900"/>
    <w:rsid w:val="00C33C45"/>
    <w:rsid w:val="00C3471B"/>
    <w:rsid w:val="00C34C17"/>
    <w:rsid w:val="00C34F5F"/>
    <w:rsid w:val="00C3686F"/>
    <w:rsid w:val="00C3719D"/>
    <w:rsid w:val="00C37CB2"/>
    <w:rsid w:val="00C401F2"/>
    <w:rsid w:val="00C4090A"/>
    <w:rsid w:val="00C40B00"/>
    <w:rsid w:val="00C41195"/>
    <w:rsid w:val="00C412B6"/>
    <w:rsid w:val="00C41F67"/>
    <w:rsid w:val="00C42FB5"/>
    <w:rsid w:val="00C443BE"/>
    <w:rsid w:val="00C4496B"/>
    <w:rsid w:val="00C44F91"/>
    <w:rsid w:val="00C473A5"/>
    <w:rsid w:val="00C4755B"/>
    <w:rsid w:val="00C47E33"/>
    <w:rsid w:val="00C5026B"/>
    <w:rsid w:val="00C508CF"/>
    <w:rsid w:val="00C50F94"/>
    <w:rsid w:val="00C51637"/>
    <w:rsid w:val="00C523E2"/>
    <w:rsid w:val="00C52A3A"/>
    <w:rsid w:val="00C54099"/>
    <w:rsid w:val="00C54527"/>
    <w:rsid w:val="00C54995"/>
    <w:rsid w:val="00C54D41"/>
    <w:rsid w:val="00C557E3"/>
    <w:rsid w:val="00C55A83"/>
    <w:rsid w:val="00C5601E"/>
    <w:rsid w:val="00C567F7"/>
    <w:rsid w:val="00C568BB"/>
    <w:rsid w:val="00C56E0A"/>
    <w:rsid w:val="00C57415"/>
    <w:rsid w:val="00C57945"/>
    <w:rsid w:val="00C60783"/>
    <w:rsid w:val="00C60B31"/>
    <w:rsid w:val="00C61B18"/>
    <w:rsid w:val="00C62468"/>
    <w:rsid w:val="00C62869"/>
    <w:rsid w:val="00C63736"/>
    <w:rsid w:val="00C64244"/>
    <w:rsid w:val="00C64672"/>
    <w:rsid w:val="00C70697"/>
    <w:rsid w:val="00C707EA"/>
    <w:rsid w:val="00C7157A"/>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7F3"/>
    <w:rsid w:val="00C82FCF"/>
    <w:rsid w:val="00C8327D"/>
    <w:rsid w:val="00C83D47"/>
    <w:rsid w:val="00C845DA"/>
    <w:rsid w:val="00C862A5"/>
    <w:rsid w:val="00C865E6"/>
    <w:rsid w:val="00C867E2"/>
    <w:rsid w:val="00C86EB2"/>
    <w:rsid w:val="00C87070"/>
    <w:rsid w:val="00C87287"/>
    <w:rsid w:val="00C87546"/>
    <w:rsid w:val="00C877B9"/>
    <w:rsid w:val="00C87B2B"/>
    <w:rsid w:val="00C90076"/>
    <w:rsid w:val="00C9027A"/>
    <w:rsid w:val="00C9068E"/>
    <w:rsid w:val="00C90CA9"/>
    <w:rsid w:val="00C92EEB"/>
    <w:rsid w:val="00C930F2"/>
    <w:rsid w:val="00C93652"/>
    <w:rsid w:val="00C93814"/>
    <w:rsid w:val="00C93A7C"/>
    <w:rsid w:val="00C93C4B"/>
    <w:rsid w:val="00C94029"/>
    <w:rsid w:val="00C942FB"/>
    <w:rsid w:val="00C944AB"/>
    <w:rsid w:val="00C95B40"/>
    <w:rsid w:val="00C95D2A"/>
    <w:rsid w:val="00C973E4"/>
    <w:rsid w:val="00C97CA1"/>
    <w:rsid w:val="00CA02E6"/>
    <w:rsid w:val="00CA1BA8"/>
    <w:rsid w:val="00CA1ED8"/>
    <w:rsid w:val="00CA27A1"/>
    <w:rsid w:val="00CA2B4B"/>
    <w:rsid w:val="00CA32E3"/>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70"/>
    <w:rsid w:val="00CC01F6"/>
    <w:rsid w:val="00CC040E"/>
    <w:rsid w:val="00CC111F"/>
    <w:rsid w:val="00CC1F87"/>
    <w:rsid w:val="00CC2011"/>
    <w:rsid w:val="00CC237E"/>
    <w:rsid w:val="00CC3152"/>
    <w:rsid w:val="00CC3EA0"/>
    <w:rsid w:val="00CC4AB3"/>
    <w:rsid w:val="00CC4E17"/>
    <w:rsid w:val="00CC4F33"/>
    <w:rsid w:val="00CC50BE"/>
    <w:rsid w:val="00CC528F"/>
    <w:rsid w:val="00CC5876"/>
    <w:rsid w:val="00CC62FC"/>
    <w:rsid w:val="00CC64A9"/>
    <w:rsid w:val="00CC6549"/>
    <w:rsid w:val="00CC7B45"/>
    <w:rsid w:val="00CC7B47"/>
    <w:rsid w:val="00CD1188"/>
    <w:rsid w:val="00CD288E"/>
    <w:rsid w:val="00CD2CF1"/>
    <w:rsid w:val="00CD2DED"/>
    <w:rsid w:val="00CD2ED1"/>
    <w:rsid w:val="00CD337B"/>
    <w:rsid w:val="00CD3D86"/>
    <w:rsid w:val="00CD3DE4"/>
    <w:rsid w:val="00CD42D1"/>
    <w:rsid w:val="00CD461F"/>
    <w:rsid w:val="00CD4A20"/>
    <w:rsid w:val="00CD5544"/>
    <w:rsid w:val="00CD5D5F"/>
    <w:rsid w:val="00CE03C9"/>
    <w:rsid w:val="00CE0424"/>
    <w:rsid w:val="00CE081A"/>
    <w:rsid w:val="00CE1267"/>
    <w:rsid w:val="00CE188F"/>
    <w:rsid w:val="00CE197B"/>
    <w:rsid w:val="00CE1CAD"/>
    <w:rsid w:val="00CE222A"/>
    <w:rsid w:val="00CE2B5D"/>
    <w:rsid w:val="00CE3029"/>
    <w:rsid w:val="00CE3B3B"/>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3135"/>
    <w:rsid w:val="00D13E4E"/>
    <w:rsid w:val="00D143E0"/>
    <w:rsid w:val="00D1582B"/>
    <w:rsid w:val="00D164A6"/>
    <w:rsid w:val="00D16F17"/>
    <w:rsid w:val="00D171B1"/>
    <w:rsid w:val="00D17DD6"/>
    <w:rsid w:val="00D2192B"/>
    <w:rsid w:val="00D22417"/>
    <w:rsid w:val="00D22F24"/>
    <w:rsid w:val="00D239A7"/>
    <w:rsid w:val="00D23A80"/>
    <w:rsid w:val="00D23F47"/>
    <w:rsid w:val="00D23FAD"/>
    <w:rsid w:val="00D24FAB"/>
    <w:rsid w:val="00D25B7A"/>
    <w:rsid w:val="00D26B0D"/>
    <w:rsid w:val="00D27355"/>
    <w:rsid w:val="00D30FCB"/>
    <w:rsid w:val="00D31AF0"/>
    <w:rsid w:val="00D31D35"/>
    <w:rsid w:val="00D32790"/>
    <w:rsid w:val="00D3369E"/>
    <w:rsid w:val="00D33F0E"/>
    <w:rsid w:val="00D35B1E"/>
    <w:rsid w:val="00D36E71"/>
    <w:rsid w:val="00D375DC"/>
    <w:rsid w:val="00D37994"/>
    <w:rsid w:val="00D37D87"/>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61E9"/>
    <w:rsid w:val="00D465B8"/>
    <w:rsid w:val="00D46F43"/>
    <w:rsid w:val="00D470E4"/>
    <w:rsid w:val="00D5018D"/>
    <w:rsid w:val="00D5204E"/>
    <w:rsid w:val="00D525AD"/>
    <w:rsid w:val="00D528BA"/>
    <w:rsid w:val="00D52E0A"/>
    <w:rsid w:val="00D537FF"/>
    <w:rsid w:val="00D53C0F"/>
    <w:rsid w:val="00D546FF"/>
    <w:rsid w:val="00D54924"/>
    <w:rsid w:val="00D54B48"/>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BCC"/>
    <w:rsid w:val="00D652B5"/>
    <w:rsid w:val="00D65821"/>
    <w:rsid w:val="00D65D7D"/>
    <w:rsid w:val="00D65ECA"/>
    <w:rsid w:val="00D65FEE"/>
    <w:rsid w:val="00D660BD"/>
    <w:rsid w:val="00D66155"/>
    <w:rsid w:val="00D708B0"/>
    <w:rsid w:val="00D71985"/>
    <w:rsid w:val="00D71AB6"/>
    <w:rsid w:val="00D722F3"/>
    <w:rsid w:val="00D73779"/>
    <w:rsid w:val="00D74394"/>
    <w:rsid w:val="00D77B1D"/>
    <w:rsid w:val="00D77DA4"/>
    <w:rsid w:val="00D8021F"/>
    <w:rsid w:val="00D80383"/>
    <w:rsid w:val="00D804FF"/>
    <w:rsid w:val="00D80EEB"/>
    <w:rsid w:val="00D823C6"/>
    <w:rsid w:val="00D831FE"/>
    <w:rsid w:val="00D8327F"/>
    <w:rsid w:val="00D833B4"/>
    <w:rsid w:val="00D8393C"/>
    <w:rsid w:val="00D85F6B"/>
    <w:rsid w:val="00D860EB"/>
    <w:rsid w:val="00D86CA3"/>
    <w:rsid w:val="00D871CE"/>
    <w:rsid w:val="00D875C2"/>
    <w:rsid w:val="00D87746"/>
    <w:rsid w:val="00D8791C"/>
    <w:rsid w:val="00D90458"/>
    <w:rsid w:val="00D90AE4"/>
    <w:rsid w:val="00D9196D"/>
    <w:rsid w:val="00D92982"/>
    <w:rsid w:val="00D92D35"/>
    <w:rsid w:val="00D938A3"/>
    <w:rsid w:val="00D93EBA"/>
    <w:rsid w:val="00D93F38"/>
    <w:rsid w:val="00D942DE"/>
    <w:rsid w:val="00D953D3"/>
    <w:rsid w:val="00D95953"/>
    <w:rsid w:val="00D95F2C"/>
    <w:rsid w:val="00D96406"/>
    <w:rsid w:val="00DA0277"/>
    <w:rsid w:val="00DA03C6"/>
    <w:rsid w:val="00DA079F"/>
    <w:rsid w:val="00DA08F4"/>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53EF"/>
    <w:rsid w:val="00DC6B1A"/>
    <w:rsid w:val="00DC7301"/>
    <w:rsid w:val="00DC76D9"/>
    <w:rsid w:val="00DD214B"/>
    <w:rsid w:val="00DD2644"/>
    <w:rsid w:val="00DD345E"/>
    <w:rsid w:val="00DD415A"/>
    <w:rsid w:val="00DD4241"/>
    <w:rsid w:val="00DD4FDA"/>
    <w:rsid w:val="00DD61AD"/>
    <w:rsid w:val="00DD6289"/>
    <w:rsid w:val="00DD7517"/>
    <w:rsid w:val="00DE2809"/>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80"/>
    <w:rsid w:val="00DF242B"/>
    <w:rsid w:val="00DF2D0F"/>
    <w:rsid w:val="00DF32A5"/>
    <w:rsid w:val="00DF358E"/>
    <w:rsid w:val="00DF37A0"/>
    <w:rsid w:val="00DF40A5"/>
    <w:rsid w:val="00DF4232"/>
    <w:rsid w:val="00DF46CD"/>
    <w:rsid w:val="00DF5426"/>
    <w:rsid w:val="00DF5CA6"/>
    <w:rsid w:val="00DF6520"/>
    <w:rsid w:val="00DF7DB4"/>
    <w:rsid w:val="00DF7ED4"/>
    <w:rsid w:val="00E01072"/>
    <w:rsid w:val="00E01246"/>
    <w:rsid w:val="00E0156D"/>
    <w:rsid w:val="00E01D12"/>
    <w:rsid w:val="00E01F6C"/>
    <w:rsid w:val="00E02F2C"/>
    <w:rsid w:val="00E034E4"/>
    <w:rsid w:val="00E04516"/>
    <w:rsid w:val="00E048AC"/>
    <w:rsid w:val="00E06182"/>
    <w:rsid w:val="00E06F27"/>
    <w:rsid w:val="00E101CD"/>
    <w:rsid w:val="00E10208"/>
    <w:rsid w:val="00E10971"/>
    <w:rsid w:val="00E10CB8"/>
    <w:rsid w:val="00E110E7"/>
    <w:rsid w:val="00E11B20"/>
    <w:rsid w:val="00E12213"/>
    <w:rsid w:val="00E12694"/>
    <w:rsid w:val="00E1287C"/>
    <w:rsid w:val="00E12E4A"/>
    <w:rsid w:val="00E15C77"/>
    <w:rsid w:val="00E17CE0"/>
    <w:rsid w:val="00E17FA2"/>
    <w:rsid w:val="00E2054C"/>
    <w:rsid w:val="00E22330"/>
    <w:rsid w:val="00E22923"/>
    <w:rsid w:val="00E22AFE"/>
    <w:rsid w:val="00E2452C"/>
    <w:rsid w:val="00E245DF"/>
    <w:rsid w:val="00E2467A"/>
    <w:rsid w:val="00E24AB4"/>
    <w:rsid w:val="00E25A55"/>
    <w:rsid w:val="00E25BC1"/>
    <w:rsid w:val="00E26F9E"/>
    <w:rsid w:val="00E27D30"/>
    <w:rsid w:val="00E27F3C"/>
    <w:rsid w:val="00E27FD0"/>
    <w:rsid w:val="00E30B5A"/>
    <w:rsid w:val="00E30CBE"/>
    <w:rsid w:val="00E3123D"/>
    <w:rsid w:val="00E31461"/>
    <w:rsid w:val="00E31D43"/>
    <w:rsid w:val="00E32608"/>
    <w:rsid w:val="00E32F57"/>
    <w:rsid w:val="00E33B71"/>
    <w:rsid w:val="00E34167"/>
    <w:rsid w:val="00E34188"/>
    <w:rsid w:val="00E34B6E"/>
    <w:rsid w:val="00E34B8F"/>
    <w:rsid w:val="00E353B7"/>
    <w:rsid w:val="00E35559"/>
    <w:rsid w:val="00E359DF"/>
    <w:rsid w:val="00E36C4F"/>
    <w:rsid w:val="00E3723A"/>
    <w:rsid w:val="00E374D0"/>
    <w:rsid w:val="00E37860"/>
    <w:rsid w:val="00E40A18"/>
    <w:rsid w:val="00E40F19"/>
    <w:rsid w:val="00E41FDC"/>
    <w:rsid w:val="00E425CA"/>
    <w:rsid w:val="00E42862"/>
    <w:rsid w:val="00E431A0"/>
    <w:rsid w:val="00E431CC"/>
    <w:rsid w:val="00E43434"/>
    <w:rsid w:val="00E43839"/>
    <w:rsid w:val="00E445EB"/>
    <w:rsid w:val="00E446F1"/>
    <w:rsid w:val="00E44A1C"/>
    <w:rsid w:val="00E45AC7"/>
    <w:rsid w:val="00E4663D"/>
    <w:rsid w:val="00E46878"/>
    <w:rsid w:val="00E46886"/>
    <w:rsid w:val="00E469DA"/>
    <w:rsid w:val="00E46B0A"/>
    <w:rsid w:val="00E47AEF"/>
    <w:rsid w:val="00E50FBB"/>
    <w:rsid w:val="00E511DB"/>
    <w:rsid w:val="00E52BDC"/>
    <w:rsid w:val="00E53B75"/>
    <w:rsid w:val="00E54DFA"/>
    <w:rsid w:val="00E54E3B"/>
    <w:rsid w:val="00E559C2"/>
    <w:rsid w:val="00E56DFA"/>
    <w:rsid w:val="00E56F82"/>
    <w:rsid w:val="00E571CA"/>
    <w:rsid w:val="00E57565"/>
    <w:rsid w:val="00E57746"/>
    <w:rsid w:val="00E57D3B"/>
    <w:rsid w:val="00E6070E"/>
    <w:rsid w:val="00E60FE0"/>
    <w:rsid w:val="00E61B1B"/>
    <w:rsid w:val="00E62729"/>
    <w:rsid w:val="00E630A0"/>
    <w:rsid w:val="00E63838"/>
    <w:rsid w:val="00E64434"/>
    <w:rsid w:val="00E646F1"/>
    <w:rsid w:val="00E64A1F"/>
    <w:rsid w:val="00E650BB"/>
    <w:rsid w:val="00E6671B"/>
    <w:rsid w:val="00E66B46"/>
    <w:rsid w:val="00E67953"/>
    <w:rsid w:val="00E67C51"/>
    <w:rsid w:val="00E70364"/>
    <w:rsid w:val="00E70B3C"/>
    <w:rsid w:val="00E70D42"/>
    <w:rsid w:val="00E711FF"/>
    <w:rsid w:val="00E7252D"/>
    <w:rsid w:val="00E7272E"/>
    <w:rsid w:val="00E72754"/>
    <w:rsid w:val="00E72EFC"/>
    <w:rsid w:val="00E74784"/>
    <w:rsid w:val="00E7562D"/>
    <w:rsid w:val="00E75792"/>
    <w:rsid w:val="00E758EC"/>
    <w:rsid w:val="00E77632"/>
    <w:rsid w:val="00E77C02"/>
    <w:rsid w:val="00E77E38"/>
    <w:rsid w:val="00E80CAC"/>
    <w:rsid w:val="00E810F2"/>
    <w:rsid w:val="00E8234C"/>
    <w:rsid w:val="00E82642"/>
    <w:rsid w:val="00E83AA9"/>
    <w:rsid w:val="00E83CB9"/>
    <w:rsid w:val="00E83D91"/>
    <w:rsid w:val="00E84E6F"/>
    <w:rsid w:val="00E85243"/>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A7"/>
    <w:rsid w:val="00E9337D"/>
    <w:rsid w:val="00E93FFE"/>
    <w:rsid w:val="00E94147"/>
    <w:rsid w:val="00E943DD"/>
    <w:rsid w:val="00E94F8A"/>
    <w:rsid w:val="00E950A4"/>
    <w:rsid w:val="00E97339"/>
    <w:rsid w:val="00E979E2"/>
    <w:rsid w:val="00E97D31"/>
    <w:rsid w:val="00EA0196"/>
    <w:rsid w:val="00EA0505"/>
    <w:rsid w:val="00EA2B48"/>
    <w:rsid w:val="00EA3145"/>
    <w:rsid w:val="00EA407D"/>
    <w:rsid w:val="00EA479F"/>
    <w:rsid w:val="00EA5A64"/>
    <w:rsid w:val="00EA5D94"/>
    <w:rsid w:val="00EA6C3D"/>
    <w:rsid w:val="00EA71A2"/>
    <w:rsid w:val="00EA726D"/>
    <w:rsid w:val="00EA7A41"/>
    <w:rsid w:val="00EB0520"/>
    <w:rsid w:val="00EB077B"/>
    <w:rsid w:val="00EB0CB0"/>
    <w:rsid w:val="00EB0F9E"/>
    <w:rsid w:val="00EB12F9"/>
    <w:rsid w:val="00EB2279"/>
    <w:rsid w:val="00EB3AA8"/>
    <w:rsid w:val="00EB4EA2"/>
    <w:rsid w:val="00EB5235"/>
    <w:rsid w:val="00EB565D"/>
    <w:rsid w:val="00EB5FE6"/>
    <w:rsid w:val="00EB61DA"/>
    <w:rsid w:val="00EB61DD"/>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7106"/>
    <w:rsid w:val="00EC71CE"/>
    <w:rsid w:val="00EC7641"/>
    <w:rsid w:val="00ED0767"/>
    <w:rsid w:val="00ED1006"/>
    <w:rsid w:val="00ED18C2"/>
    <w:rsid w:val="00ED1EE2"/>
    <w:rsid w:val="00ED3384"/>
    <w:rsid w:val="00ED3506"/>
    <w:rsid w:val="00ED392D"/>
    <w:rsid w:val="00ED44A6"/>
    <w:rsid w:val="00ED4A99"/>
    <w:rsid w:val="00ED6832"/>
    <w:rsid w:val="00ED7A3F"/>
    <w:rsid w:val="00EE072D"/>
    <w:rsid w:val="00EE074E"/>
    <w:rsid w:val="00EE164C"/>
    <w:rsid w:val="00EE1AF7"/>
    <w:rsid w:val="00EE23E3"/>
    <w:rsid w:val="00EE2BF0"/>
    <w:rsid w:val="00EE2D5B"/>
    <w:rsid w:val="00EE47A5"/>
    <w:rsid w:val="00EE4868"/>
    <w:rsid w:val="00EE5F60"/>
    <w:rsid w:val="00EE61A4"/>
    <w:rsid w:val="00EE6718"/>
    <w:rsid w:val="00EF062C"/>
    <w:rsid w:val="00EF0813"/>
    <w:rsid w:val="00EF18FE"/>
    <w:rsid w:val="00EF294E"/>
    <w:rsid w:val="00EF31C5"/>
    <w:rsid w:val="00EF3597"/>
    <w:rsid w:val="00EF44A2"/>
    <w:rsid w:val="00EF5787"/>
    <w:rsid w:val="00EF5D5A"/>
    <w:rsid w:val="00EF60D0"/>
    <w:rsid w:val="00EF6759"/>
    <w:rsid w:val="00EF6DF0"/>
    <w:rsid w:val="00EF7D0F"/>
    <w:rsid w:val="00EF7D51"/>
    <w:rsid w:val="00F000F8"/>
    <w:rsid w:val="00F00B12"/>
    <w:rsid w:val="00F012FF"/>
    <w:rsid w:val="00F014FD"/>
    <w:rsid w:val="00F0263C"/>
    <w:rsid w:val="00F02AE2"/>
    <w:rsid w:val="00F04FCB"/>
    <w:rsid w:val="00F051C2"/>
    <w:rsid w:val="00F0528D"/>
    <w:rsid w:val="00F05588"/>
    <w:rsid w:val="00F056AC"/>
    <w:rsid w:val="00F06C67"/>
    <w:rsid w:val="00F06DFD"/>
    <w:rsid w:val="00F071D1"/>
    <w:rsid w:val="00F07533"/>
    <w:rsid w:val="00F076D1"/>
    <w:rsid w:val="00F10629"/>
    <w:rsid w:val="00F10DB0"/>
    <w:rsid w:val="00F114D5"/>
    <w:rsid w:val="00F12B80"/>
    <w:rsid w:val="00F13F79"/>
    <w:rsid w:val="00F1480A"/>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43D8"/>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2064"/>
    <w:rsid w:val="00F332D7"/>
    <w:rsid w:val="00F332EE"/>
    <w:rsid w:val="00F33757"/>
    <w:rsid w:val="00F338E1"/>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4D3A"/>
    <w:rsid w:val="00F55E74"/>
    <w:rsid w:val="00F56078"/>
    <w:rsid w:val="00F56600"/>
    <w:rsid w:val="00F56ABD"/>
    <w:rsid w:val="00F60203"/>
    <w:rsid w:val="00F6047A"/>
    <w:rsid w:val="00F60602"/>
    <w:rsid w:val="00F607C5"/>
    <w:rsid w:val="00F60DEA"/>
    <w:rsid w:val="00F60EC5"/>
    <w:rsid w:val="00F60F4C"/>
    <w:rsid w:val="00F6213D"/>
    <w:rsid w:val="00F6277A"/>
    <w:rsid w:val="00F6302A"/>
    <w:rsid w:val="00F63246"/>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B6C"/>
    <w:rsid w:val="00F804BE"/>
    <w:rsid w:val="00F80FFC"/>
    <w:rsid w:val="00F8114A"/>
    <w:rsid w:val="00F81752"/>
    <w:rsid w:val="00F817CE"/>
    <w:rsid w:val="00F81D3A"/>
    <w:rsid w:val="00F8241B"/>
    <w:rsid w:val="00F82484"/>
    <w:rsid w:val="00F83167"/>
    <w:rsid w:val="00F83C35"/>
    <w:rsid w:val="00F84121"/>
    <w:rsid w:val="00F841F0"/>
    <w:rsid w:val="00F84395"/>
    <w:rsid w:val="00F8456C"/>
    <w:rsid w:val="00F8490C"/>
    <w:rsid w:val="00F84A73"/>
    <w:rsid w:val="00F853D0"/>
    <w:rsid w:val="00F854A7"/>
    <w:rsid w:val="00F859D8"/>
    <w:rsid w:val="00F86506"/>
    <w:rsid w:val="00F86824"/>
    <w:rsid w:val="00F868F5"/>
    <w:rsid w:val="00F86D9B"/>
    <w:rsid w:val="00F86DB4"/>
    <w:rsid w:val="00F8720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256"/>
    <w:rsid w:val="00F96985"/>
    <w:rsid w:val="00F97838"/>
    <w:rsid w:val="00FA0486"/>
    <w:rsid w:val="00FA0F58"/>
    <w:rsid w:val="00FA1C24"/>
    <w:rsid w:val="00FA2965"/>
    <w:rsid w:val="00FA2BB3"/>
    <w:rsid w:val="00FA3FE1"/>
    <w:rsid w:val="00FA4461"/>
    <w:rsid w:val="00FA4A7E"/>
    <w:rsid w:val="00FA5910"/>
    <w:rsid w:val="00FA5C04"/>
    <w:rsid w:val="00FA66BC"/>
    <w:rsid w:val="00FA6B8E"/>
    <w:rsid w:val="00FA6BD0"/>
    <w:rsid w:val="00FA6D1E"/>
    <w:rsid w:val="00FB01ED"/>
    <w:rsid w:val="00FB08CB"/>
    <w:rsid w:val="00FB4418"/>
    <w:rsid w:val="00FB4C80"/>
    <w:rsid w:val="00FB5D96"/>
    <w:rsid w:val="00FB60BE"/>
    <w:rsid w:val="00FB6A6A"/>
    <w:rsid w:val="00FB7561"/>
    <w:rsid w:val="00FB78FB"/>
    <w:rsid w:val="00FC0111"/>
    <w:rsid w:val="00FC1A15"/>
    <w:rsid w:val="00FC2137"/>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D2D"/>
    <w:rsid w:val="00FD34CC"/>
    <w:rsid w:val="00FD3F4E"/>
    <w:rsid w:val="00FD43A1"/>
    <w:rsid w:val="00FD47ED"/>
    <w:rsid w:val="00FD551E"/>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3074"/>
    <w:rsid w:val="00FE353E"/>
    <w:rsid w:val="00FE37D7"/>
    <w:rsid w:val="00FE4081"/>
    <w:rsid w:val="00FE42EF"/>
    <w:rsid w:val="00FE487F"/>
    <w:rsid w:val="00FE4C7B"/>
    <w:rsid w:val="00FE54D9"/>
    <w:rsid w:val="00FE5780"/>
    <w:rsid w:val="00FE5CC3"/>
    <w:rsid w:val="00FE6538"/>
    <w:rsid w:val="00FE6D8E"/>
    <w:rsid w:val="00FE7103"/>
    <w:rsid w:val="00FE7336"/>
    <w:rsid w:val="00FE787C"/>
    <w:rsid w:val="00FE7D2C"/>
    <w:rsid w:val="00FF16E9"/>
    <w:rsid w:val="00FF19E7"/>
    <w:rsid w:val="00FF1ACD"/>
    <w:rsid w:val="00FF2102"/>
    <w:rsid w:val="00FF2F50"/>
    <w:rsid w:val="00FF3C6A"/>
    <w:rsid w:val="00FF4147"/>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F26B5BFE-A458-4271-9AC5-7BB5C985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5BC"/>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30"/>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E0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5B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67768C7-6F5A-41A7-8A9C-5960E59D0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4163</Words>
  <Characters>33723</Characters>
  <Application>Microsoft Office Word</Application>
  <DocSecurity>0</DocSecurity>
  <Lines>281</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2008-01-30T20:09:00Z</cp:lastPrinted>
  <dcterms:created xsi:type="dcterms:W3CDTF">2021-10-21T09:20:00Z</dcterms:created>
  <dcterms:modified xsi:type="dcterms:W3CDTF">2021-10-21T09:20:00Z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